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2412" w14:textId="77777777" w:rsidR="00CB4E33" w:rsidRPr="00EF2158" w:rsidRDefault="00CB4E33" w:rsidP="00CB4E33">
      <w:pPr>
        <w:spacing w:after="120"/>
        <w:jc w:val="center"/>
        <w:rPr>
          <w:rFonts w:cstheme="minorHAnsi"/>
          <w:b/>
          <w:bCs/>
          <w:sz w:val="28"/>
          <w:szCs w:val="28"/>
        </w:rPr>
      </w:pPr>
      <w:r w:rsidRPr="00EF2158">
        <w:rPr>
          <w:rFonts w:cstheme="minorHAnsi"/>
          <w:b/>
          <w:bCs/>
          <w:sz w:val="28"/>
          <w:szCs w:val="28"/>
        </w:rPr>
        <w:t xml:space="preserve">MADANI INDIVIDUAL CONSULTANCY </w:t>
      </w:r>
    </w:p>
    <w:p w14:paraId="76E27CCE" w14:textId="0E85E633" w:rsidR="00FD2041" w:rsidRDefault="00CC562D" w:rsidP="00CB4E33">
      <w:pPr>
        <w:spacing w:after="120"/>
        <w:jc w:val="center"/>
        <w:rPr>
          <w:rFonts w:cstheme="minorHAnsi"/>
          <w:b/>
          <w:bCs/>
          <w:sz w:val="28"/>
          <w:szCs w:val="28"/>
        </w:rPr>
      </w:pPr>
      <w:r w:rsidRPr="00EF2158">
        <w:rPr>
          <w:rFonts w:cstheme="minorHAnsi"/>
          <w:b/>
          <w:bCs/>
          <w:sz w:val="28"/>
          <w:szCs w:val="28"/>
        </w:rPr>
        <w:t>POLICY RECOMMENDATION</w:t>
      </w:r>
      <w:r>
        <w:rPr>
          <w:rFonts w:cstheme="minorHAnsi"/>
          <w:b/>
          <w:bCs/>
          <w:sz w:val="28"/>
          <w:szCs w:val="28"/>
        </w:rPr>
        <w:t xml:space="preserve"> F</w:t>
      </w:r>
      <w:r w:rsidR="00FD2041">
        <w:rPr>
          <w:rFonts w:cstheme="minorHAnsi"/>
          <w:b/>
          <w:bCs/>
          <w:sz w:val="28"/>
          <w:szCs w:val="28"/>
        </w:rPr>
        <w:t>OR</w:t>
      </w:r>
      <w:r w:rsidR="00CB4E33" w:rsidRPr="00EF2158">
        <w:rPr>
          <w:rFonts w:cstheme="minorHAnsi"/>
          <w:b/>
          <w:bCs/>
          <w:sz w:val="28"/>
          <w:szCs w:val="28"/>
        </w:rPr>
        <w:t xml:space="preserve"> </w:t>
      </w:r>
      <w:r w:rsidR="00D41C26">
        <w:rPr>
          <w:rFonts w:cstheme="minorHAnsi"/>
          <w:b/>
          <w:bCs/>
          <w:sz w:val="28"/>
          <w:szCs w:val="28"/>
        </w:rPr>
        <w:t>C</w:t>
      </w:r>
      <w:r w:rsidR="00E77B48">
        <w:rPr>
          <w:rFonts w:cstheme="minorHAnsi"/>
          <w:b/>
          <w:bCs/>
          <w:sz w:val="28"/>
          <w:szCs w:val="28"/>
        </w:rPr>
        <w:t xml:space="preserve">IVIL SOCIETY </w:t>
      </w:r>
      <w:r w:rsidR="00FD2041">
        <w:rPr>
          <w:rFonts w:cstheme="minorHAnsi"/>
          <w:b/>
          <w:bCs/>
          <w:sz w:val="28"/>
          <w:szCs w:val="28"/>
        </w:rPr>
        <w:t>ORGANIZATION</w:t>
      </w:r>
      <w:r w:rsidR="00D41C26">
        <w:rPr>
          <w:rFonts w:cstheme="minorHAnsi"/>
          <w:b/>
          <w:bCs/>
          <w:sz w:val="28"/>
          <w:szCs w:val="28"/>
        </w:rPr>
        <w:t xml:space="preserve"> </w:t>
      </w:r>
    </w:p>
    <w:p w14:paraId="3EA3B788" w14:textId="59B7990C" w:rsidR="00CB4E33" w:rsidRPr="00EF2158" w:rsidRDefault="00CC562D" w:rsidP="00CB4E33">
      <w:pPr>
        <w:spacing w:after="120"/>
        <w:jc w:val="center"/>
        <w:rPr>
          <w:rFonts w:cstheme="minorHAnsi"/>
          <w:b/>
          <w:bCs/>
          <w:sz w:val="28"/>
          <w:szCs w:val="28"/>
        </w:rPr>
      </w:pPr>
      <w:r>
        <w:rPr>
          <w:rFonts w:cstheme="minorHAnsi"/>
          <w:b/>
          <w:bCs/>
          <w:sz w:val="28"/>
          <w:szCs w:val="28"/>
        </w:rPr>
        <w:t>T</w:t>
      </w:r>
      <w:r w:rsidR="00FD2041">
        <w:rPr>
          <w:rFonts w:cstheme="minorHAnsi"/>
          <w:b/>
          <w:bCs/>
          <w:sz w:val="28"/>
          <w:szCs w:val="28"/>
        </w:rPr>
        <w:t>O</w:t>
      </w:r>
      <w:r w:rsidR="00D41C26">
        <w:rPr>
          <w:rFonts w:cstheme="minorHAnsi"/>
          <w:b/>
          <w:bCs/>
          <w:sz w:val="28"/>
          <w:szCs w:val="28"/>
        </w:rPr>
        <w:t xml:space="preserve"> PROMOTE SOCIAL DIVERSITY</w:t>
      </w:r>
      <w:r w:rsidR="00CB4E33" w:rsidRPr="00EF2158">
        <w:rPr>
          <w:rFonts w:cstheme="minorHAnsi"/>
          <w:b/>
          <w:bCs/>
          <w:sz w:val="28"/>
          <w:szCs w:val="28"/>
        </w:rPr>
        <w:t xml:space="preserve"> </w:t>
      </w:r>
    </w:p>
    <w:p w14:paraId="7A11E63F" w14:textId="77777777" w:rsidR="00CB4E33" w:rsidRPr="00EF2158" w:rsidRDefault="00CB4E33" w:rsidP="00CB4E33">
      <w:pPr>
        <w:spacing w:after="120"/>
        <w:jc w:val="both"/>
        <w:rPr>
          <w:rFonts w:cstheme="minorHAnsi"/>
          <w:b/>
          <w:bCs/>
          <w:i/>
          <w:iCs/>
        </w:rPr>
      </w:pPr>
    </w:p>
    <w:p w14:paraId="1BBAF427" w14:textId="77777777" w:rsidR="00CB4E33" w:rsidRPr="00EF2158" w:rsidRDefault="00CB4E33" w:rsidP="00CB4E33">
      <w:pPr>
        <w:spacing w:after="120"/>
        <w:jc w:val="both"/>
        <w:rPr>
          <w:rFonts w:cstheme="minorHAnsi"/>
          <w:b/>
          <w:bCs/>
          <w:i/>
          <w:iCs/>
        </w:rPr>
      </w:pPr>
      <w:r w:rsidRPr="00EF2158">
        <w:rPr>
          <w:rFonts w:cstheme="minorHAnsi"/>
          <w:b/>
          <w:bCs/>
          <w:i/>
          <w:iCs/>
        </w:rPr>
        <w:t>Background:</w:t>
      </w:r>
    </w:p>
    <w:p w14:paraId="6E3539FB" w14:textId="6E2D0B26" w:rsidR="00CB4E33" w:rsidRPr="00410A84" w:rsidRDefault="00CB4E33" w:rsidP="00CB4E33">
      <w:pPr>
        <w:spacing w:after="120"/>
        <w:jc w:val="both"/>
        <w:rPr>
          <w:rFonts w:ascii="Arial" w:hAnsi="Arial" w:cs="Arial"/>
          <w:color w:val="333333"/>
          <w:shd w:val="clear" w:color="auto" w:fill="FFFFFF"/>
        </w:rPr>
      </w:pPr>
      <w:r w:rsidRPr="00796621">
        <w:rPr>
          <w:rFonts w:cstheme="minorHAnsi"/>
        </w:rPr>
        <w:t>MADANI a five-year, USAID-funded project implemented by FHI 360 to strengthen local government accountability and communal tolerance in Indonesia by improving and sustaining local civil society’s capacity, legitimacy, and sustainability. MADANI’s vision is to leave Indonesia a better functioning, more tolerant, and more resilient democracy, demonstrated by strengthened local democratic practices, improved local government performance and</w:t>
      </w:r>
      <w:r w:rsidRPr="00EF2158">
        <w:rPr>
          <w:rFonts w:cstheme="minorHAnsi"/>
        </w:rPr>
        <w:t xml:space="preserve"> responsiveness, better accountability of frontline service delivery, and more effective and inclusive mechanisms for community-level participation and transparency. In each jurisdiction, people in positions of power and leadership will be encouraged to model and champion government accountability and </w:t>
      </w:r>
      <w:r w:rsidRPr="00EF2158" w:rsidDel="00A2150A">
        <w:rPr>
          <w:rFonts w:cstheme="minorHAnsi"/>
        </w:rPr>
        <w:t xml:space="preserve">communal </w:t>
      </w:r>
      <w:r w:rsidRPr="00EF2158">
        <w:rPr>
          <w:rFonts w:cstheme="minorHAnsi"/>
        </w:rPr>
        <w:t xml:space="preserve">tolerance; and citizens will become more receptive to these ideas through positive messaging and increased media and digital literacy brought about by MADANI programming. </w:t>
      </w:r>
    </w:p>
    <w:p w14:paraId="58D3DB56" w14:textId="3639835C" w:rsidR="00CB4E33" w:rsidRPr="00EF2158" w:rsidRDefault="00CB4E33" w:rsidP="00CB4E33">
      <w:pPr>
        <w:spacing w:after="120"/>
        <w:jc w:val="both"/>
        <w:rPr>
          <w:rFonts w:cstheme="minorHAnsi"/>
        </w:rPr>
      </w:pPr>
      <w:bookmarkStart w:id="0" w:name="_Hlk60218999"/>
      <w:r w:rsidRPr="00EF2158">
        <w:rPr>
          <w:rFonts w:cstheme="minorHAnsi"/>
        </w:rPr>
        <w:t xml:space="preserve">MADANI works addressing the challenges by providing grants and technical assistance (TA) directly to targeted subnational civil society organizations </w:t>
      </w:r>
      <w:r w:rsidR="0002062F">
        <w:rPr>
          <w:rFonts w:cstheme="minorHAnsi"/>
        </w:rPr>
        <w:t xml:space="preserve"> (</w:t>
      </w:r>
      <w:r w:rsidR="0002062F" w:rsidRPr="00EF2158">
        <w:rPr>
          <w:rFonts w:cstheme="minorHAnsi"/>
        </w:rPr>
        <w:t>“Lead Partners”</w:t>
      </w:r>
      <w:r w:rsidRPr="00EF2158">
        <w:rPr>
          <w:rFonts w:cstheme="minorHAnsi"/>
        </w:rPr>
        <w:t xml:space="preserve">) in 32 districts and cities in </w:t>
      </w:r>
      <w:r w:rsidR="0002062F">
        <w:rPr>
          <w:rFonts w:cstheme="minorHAnsi"/>
        </w:rPr>
        <w:t>the</w:t>
      </w:r>
      <w:r w:rsidR="0002062F" w:rsidRPr="00EF2158">
        <w:rPr>
          <w:rFonts w:cstheme="minorHAnsi"/>
        </w:rPr>
        <w:t xml:space="preserve"> </w:t>
      </w:r>
      <w:r w:rsidRPr="00EF2158">
        <w:rPr>
          <w:rFonts w:cstheme="minorHAnsi"/>
        </w:rPr>
        <w:t>provinces</w:t>
      </w:r>
      <w:r w:rsidR="0002062F">
        <w:rPr>
          <w:rFonts w:cstheme="minorHAnsi"/>
        </w:rPr>
        <w:t xml:space="preserve"> of </w:t>
      </w:r>
      <w:r w:rsidR="0002062F" w:rsidRPr="000D39CE">
        <w:rPr>
          <w:rFonts w:cstheme="minorHAnsi"/>
        </w:rPr>
        <w:t>West Java, Central Java, East Java, South Sulawesi, West Kalimantan and Banten</w:t>
      </w:r>
      <w:r w:rsidR="0002062F" w:rsidRPr="00EF2158" w:rsidDel="0002062F">
        <w:rPr>
          <w:rStyle w:val="FootnoteReference"/>
          <w:rFonts w:cstheme="minorHAnsi"/>
        </w:rPr>
        <w:t xml:space="preserve"> </w:t>
      </w:r>
      <w:r w:rsidRPr="00EF2158">
        <w:rPr>
          <w:rFonts w:cstheme="minorHAnsi"/>
        </w:rPr>
        <w:t>to improve their operational capacities and systems, build stronger ties with communities</w:t>
      </w:r>
      <w:r w:rsidRPr="00EF2158" w:rsidDel="00A55A82">
        <w:rPr>
          <w:rFonts w:cstheme="minorHAnsi"/>
        </w:rPr>
        <w:t xml:space="preserve"> </w:t>
      </w:r>
      <w:r w:rsidRPr="00EF2158">
        <w:rPr>
          <w:rFonts w:cstheme="minorHAnsi"/>
        </w:rPr>
        <w:t xml:space="preserve">and local governments, and support an improved environment and more sustainable means of mobilizing financial resources, including from the government and private sector. </w:t>
      </w:r>
      <w:bookmarkEnd w:id="0"/>
      <w:r w:rsidR="00B24A19">
        <w:rPr>
          <w:rFonts w:cstheme="minorHAnsi"/>
        </w:rPr>
        <w:t>By</w:t>
      </w:r>
      <w:r w:rsidR="006D0A46">
        <w:rPr>
          <w:rFonts w:cstheme="minorHAnsi"/>
        </w:rPr>
        <w:t xml:space="preserve"> strengthening CSOs capacity</w:t>
      </w:r>
      <w:r w:rsidR="00B24A19">
        <w:rPr>
          <w:rFonts w:cstheme="minorHAnsi"/>
        </w:rPr>
        <w:t xml:space="preserve">, it will further </w:t>
      </w:r>
      <w:r w:rsidR="00F25BC1">
        <w:rPr>
          <w:rFonts w:cstheme="minorHAnsi"/>
        </w:rPr>
        <w:t xml:space="preserve">advancing Indonesia </w:t>
      </w:r>
      <w:r w:rsidR="00E05D08">
        <w:rPr>
          <w:rFonts w:cstheme="minorHAnsi"/>
        </w:rPr>
        <w:t xml:space="preserve">democratic progress through </w:t>
      </w:r>
      <w:r w:rsidRPr="00EF2158">
        <w:rPr>
          <w:rFonts w:cstheme="minorHAnsi"/>
        </w:rPr>
        <w:t xml:space="preserve">advocate for government accountability and communal tolerance at the local level. </w:t>
      </w:r>
    </w:p>
    <w:p w14:paraId="3DD9BE93" w14:textId="4E55C4BB" w:rsidR="002F2181" w:rsidRDefault="0002062F" w:rsidP="00CB4E33">
      <w:pPr>
        <w:tabs>
          <w:tab w:val="right" w:leader="underscore" w:pos="5760"/>
        </w:tabs>
        <w:spacing w:after="120"/>
        <w:jc w:val="both"/>
        <w:rPr>
          <w:rFonts w:cstheme="minorHAnsi"/>
        </w:rPr>
      </w:pPr>
      <w:r>
        <w:rPr>
          <w:rFonts w:cstheme="minorHAnsi"/>
        </w:rPr>
        <w:t>In</w:t>
      </w:r>
      <w:r w:rsidR="00CB4E33" w:rsidRPr="00EF2158">
        <w:rPr>
          <w:rFonts w:cstheme="minorHAnsi"/>
        </w:rPr>
        <w:t xml:space="preserve"> 20</w:t>
      </w:r>
      <w:r>
        <w:rPr>
          <w:rFonts w:cstheme="minorHAnsi"/>
        </w:rPr>
        <w:t>20</w:t>
      </w:r>
      <w:r w:rsidR="00CB4E33" w:rsidRPr="00EF2158">
        <w:rPr>
          <w:rFonts w:cstheme="minorHAnsi"/>
        </w:rPr>
        <w:t>-202</w:t>
      </w:r>
      <w:r w:rsidR="0015424B">
        <w:rPr>
          <w:rFonts w:cstheme="minorHAnsi"/>
        </w:rPr>
        <w:t>2</w:t>
      </w:r>
      <w:r w:rsidR="0084794B">
        <w:rPr>
          <w:rFonts w:cstheme="minorHAnsi"/>
        </w:rPr>
        <w:t xml:space="preserve">, </w:t>
      </w:r>
      <w:r>
        <w:rPr>
          <w:rFonts w:cstheme="minorHAnsi"/>
        </w:rPr>
        <w:t xml:space="preserve">MADANI </w:t>
      </w:r>
      <w:r w:rsidR="0084794B">
        <w:rPr>
          <w:rFonts w:cstheme="minorHAnsi"/>
        </w:rPr>
        <w:t xml:space="preserve">has </w:t>
      </w:r>
      <w:r w:rsidR="00F32FA5">
        <w:rPr>
          <w:rFonts w:cstheme="minorHAnsi"/>
        </w:rPr>
        <w:t>encouraged</w:t>
      </w:r>
      <w:r w:rsidR="0084794B">
        <w:rPr>
          <w:rFonts w:cstheme="minorHAnsi"/>
        </w:rPr>
        <w:t xml:space="preserve"> </w:t>
      </w:r>
      <w:r>
        <w:rPr>
          <w:rFonts w:cstheme="minorHAnsi"/>
        </w:rPr>
        <w:t xml:space="preserve">the </w:t>
      </w:r>
      <w:r w:rsidR="0084794B">
        <w:rPr>
          <w:rFonts w:cstheme="minorHAnsi"/>
        </w:rPr>
        <w:t xml:space="preserve">32 Lead </w:t>
      </w:r>
      <w:r w:rsidR="009D0571">
        <w:rPr>
          <w:rFonts w:cstheme="minorHAnsi"/>
        </w:rPr>
        <w:t>P</w:t>
      </w:r>
      <w:r w:rsidR="0084794B">
        <w:rPr>
          <w:rFonts w:cstheme="minorHAnsi"/>
        </w:rPr>
        <w:t>ar</w:t>
      </w:r>
      <w:r w:rsidR="0013465C">
        <w:rPr>
          <w:rFonts w:cstheme="minorHAnsi"/>
        </w:rPr>
        <w:t>tner</w:t>
      </w:r>
      <w:r>
        <w:rPr>
          <w:rFonts w:cstheme="minorHAnsi"/>
        </w:rPr>
        <w:t>s</w:t>
      </w:r>
      <w:r w:rsidR="0013465C">
        <w:rPr>
          <w:rFonts w:cstheme="minorHAnsi"/>
        </w:rPr>
        <w:t xml:space="preserve"> to </w:t>
      </w:r>
      <w:r>
        <w:rPr>
          <w:rFonts w:cstheme="minorHAnsi"/>
        </w:rPr>
        <w:t xml:space="preserve">address in collaboration with the local government various development </w:t>
      </w:r>
      <w:r w:rsidR="0013465C">
        <w:rPr>
          <w:rFonts w:cstheme="minorHAnsi"/>
        </w:rPr>
        <w:t>issues</w:t>
      </w:r>
      <w:r>
        <w:rPr>
          <w:rFonts w:cstheme="minorHAnsi"/>
        </w:rPr>
        <w:t xml:space="preserve">, </w:t>
      </w:r>
      <w:r w:rsidR="0013465C">
        <w:rPr>
          <w:rFonts w:cstheme="minorHAnsi"/>
        </w:rPr>
        <w:t>cover</w:t>
      </w:r>
      <w:r>
        <w:rPr>
          <w:rFonts w:cstheme="minorHAnsi"/>
        </w:rPr>
        <w:t>ing</w:t>
      </w:r>
      <w:r w:rsidR="00CC2795" w:rsidRPr="00CC2795">
        <w:rPr>
          <w:rFonts w:cstheme="minorHAnsi"/>
        </w:rPr>
        <w:t xml:space="preserve"> </w:t>
      </w:r>
      <w:r w:rsidR="00CC2795">
        <w:rPr>
          <w:rFonts w:cstheme="minorHAnsi"/>
        </w:rPr>
        <w:t xml:space="preserve">social diversity, youth inclusion, </w:t>
      </w:r>
      <w:r>
        <w:rPr>
          <w:rFonts w:cstheme="minorHAnsi"/>
        </w:rPr>
        <w:t>m</w:t>
      </w:r>
      <w:r w:rsidR="00CC2795">
        <w:rPr>
          <w:rFonts w:cstheme="minorHAnsi"/>
        </w:rPr>
        <w:t xml:space="preserve">aternal and </w:t>
      </w:r>
      <w:r>
        <w:rPr>
          <w:rFonts w:cstheme="minorHAnsi"/>
        </w:rPr>
        <w:t>child health</w:t>
      </w:r>
      <w:r w:rsidR="00CC2795">
        <w:rPr>
          <w:rFonts w:cstheme="minorHAnsi"/>
        </w:rPr>
        <w:t xml:space="preserve">, frontline service (in education, health, </w:t>
      </w:r>
      <w:r>
        <w:rPr>
          <w:rFonts w:cstheme="minorHAnsi"/>
        </w:rPr>
        <w:t xml:space="preserve">and </w:t>
      </w:r>
      <w:r w:rsidR="00CC2795">
        <w:rPr>
          <w:rFonts w:cstheme="minorHAnsi"/>
        </w:rPr>
        <w:t>civil administration</w:t>
      </w:r>
      <w:r>
        <w:rPr>
          <w:rFonts w:cstheme="minorHAnsi"/>
        </w:rPr>
        <w:t>)</w:t>
      </w:r>
      <w:r w:rsidR="00CC2795">
        <w:rPr>
          <w:rFonts w:cstheme="minorHAnsi"/>
        </w:rPr>
        <w:t xml:space="preserve">, </w:t>
      </w:r>
      <w:r>
        <w:rPr>
          <w:rFonts w:cstheme="minorHAnsi"/>
        </w:rPr>
        <w:t xml:space="preserve">village fund transparency </w:t>
      </w:r>
      <w:r w:rsidR="00CC2795">
        <w:rPr>
          <w:rFonts w:cstheme="minorHAnsi"/>
        </w:rPr>
        <w:t>and solid waste management</w:t>
      </w:r>
      <w:r w:rsidR="00C138EB">
        <w:rPr>
          <w:rFonts w:cstheme="minorHAnsi"/>
        </w:rPr>
        <w:t>.</w:t>
      </w:r>
      <w:r w:rsidR="00062A1A">
        <w:rPr>
          <w:rFonts w:cstheme="minorHAnsi"/>
        </w:rPr>
        <w:t xml:space="preserve"> </w:t>
      </w:r>
      <w:r w:rsidR="00A66C30">
        <w:rPr>
          <w:rFonts w:cstheme="minorHAnsi"/>
        </w:rPr>
        <w:t>The s</w:t>
      </w:r>
      <w:r w:rsidR="00062A1A">
        <w:rPr>
          <w:rFonts w:cstheme="minorHAnsi"/>
        </w:rPr>
        <w:t>ocial diversity</w:t>
      </w:r>
      <w:r w:rsidR="00A66C30">
        <w:rPr>
          <w:rFonts w:cstheme="minorHAnsi"/>
        </w:rPr>
        <w:t xml:space="preserve"> and youth inclusion </w:t>
      </w:r>
      <w:r w:rsidR="005A1630">
        <w:rPr>
          <w:rFonts w:cstheme="minorHAnsi"/>
        </w:rPr>
        <w:t xml:space="preserve">were </w:t>
      </w:r>
      <w:r>
        <w:rPr>
          <w:rFonts w:cstheme="minorHAnsi"/>
        </w:rPr>
        <w:t xml:space="preserve">selected </w:t>
      </w:r>
      <w:r w:rsidR="00063A8E">
        <w:rPr>
          <w:rFonts w:cstheme="minorHAnsi"/>
        </w:rPr>
        <w:t>in Bogor and Makassar where social diversity</w:t>
      </w:r>
      <w:r>
        <w:rPr>
          <w:rFonts w:cstheme="minorHAnsi"/>
        </w:rPr>
        <w:t xml:space="preserve"> and the lack of tolerance cause </w:t>
      </w:r>
      <w:r w:rsidR="00EF0AA9">
        <w:rPr>
          <w:rFonts w:cstheme="minorHAnsi"/>
        </w:rPr>
        <w:t>potential</w:t>
      </w:r>
      <w:r>
        <w:rPr>
          <w:rFonts w:cstheme="minorHAnsi"/>
        </w:rPr>
        <w:t xml:space="preserve"> </w:t>
      </w:r>
      <w:r w:rsidR="00EF0AA9">
        <w:rPr>
          <w:rFonts w:cstheme="minorHAnsi"/>
        </w:rPr>
        <w:t>social conflicts</w:t>
      </w:r>
      <w:r w:rsidR="002765D5">
        <w:rPr>
          <w:rFonts w:cstheme="minorHAnsi"/>
        </w:rPr>
        <w:t xml:space="preserve"> and unrest</w:t>
      </w:r>
      <w:r w:rsidR="00B94F60">
        <w:rPr>
          <w:rFonts w:cstheme="minorHAnsi"/>
        </w:rPr>
        <w:t xml:space="preserve">. </w:t>
      </w:r>
      <w:r w:rsidR="00B92761">
        <w:rPr>
          <w:rFonts w:cstheme="minorHAnsi"/>
        </w:rPr>
        <w:t xml:space="preserve">This situation </w:t>
      </w:r>
      <w:r w:rsidR="006E484A">
        <w:rPr>
          <w:rFonts w:cstheme="minorHAnsi"/>
        </w:rPr>
        <w:t>often</w:t>
      </w:r>
      <w:r w:rsidR="0012721F">
        <w:rPr>
          <w:rFonts w:cstheme="minorHAnsi"/>
        </w:rPr>
        <w:t xml:space="preserve"> </w:t>
      </w:r>
      <w:r w:rsidR="006E484A">
        <w:rPr>
          <w:rFonts w:cstheme="minorHAnsi"/>
        </w:rPr>
        <w:t xml:space="preserve">worsening by </w:t>
      </w:r>
      <w:r w:rsidR="001A3CC9">
        <w:rPr>
          <w:rFonts w:cstheme="minorHAnsi"/>
        </w:rPr>
        <w:t xml:space="preserve">common opinioned where </w:t>
      </w:r>
      <w:r w:rsidR="004A4AC5">
        <w:rPr>
          <w:rFonts w:cstheme="minorHAnsi"/>
        </w:rPr>
        <w:t>these two cities</w:t>
      </w:r>
      <w:r w:rsidR="001A3CC9">
        <w:rPr>
          <w:rFonts w:cstheme="minorHAnsi"/>
        </w:rPr>
        <w:t xml:space="preserve"> </w:t>
      </w:r>
      <w:r w:rsidR="007B4C3C">
        <w:rPr>
          <w:rFonts w:cstheme="minorHAnsi"/>
        </w:rPr>
        <w:t xml:space="preserve">considered less tolerant </w:t>
      </w:r>
      <w:r w:rsidR="00E134E5">
        <w:rPr>
          <w:rFonts w:cstheme="minorHAnsi"/>
        </w:rPr>
        <w:t>and has</w:t>
      </w:r>
      <w:r w:rsidR="009A0516">
        <w:rPr>
          <w:rFonts w:cstheme="minorHAnsi"/>
        </w:rPr>
        <w:t xml:space="preserve"> rigid </w:t>
      </w:r>
      <w:r w:rsidR="004A4AC5">
        <w:rPr>
          <w:rFonts w:cstheme="minorHAnsi"/>
        </w:rPr>
        <w:t>understanding</w:t>
      </w:r>
      <w:r w:rsidR="009A0516">
        <w:rPr>
          <w:rFonts w:cstheme="minorHAnsi"/>
        </w:rPr>
        <w:t xml:space="preserve"> </w:t>
      </w:r>
      <w:r w:rsidR="000D71FB">
        <w:rPr>
          <w:rFonts w:cstheme="minorHAnsi"/>
        </w:rPr>
        <w:t xml:space="preserve">of </w:t>
      </w:r>
      <w:r w:rsidR="004A4AC5">
        <w:rPr>
          <w:rFonts w:cstheme="minorHAnsi"/>
        </w:rPr>
        <w:t xml:space="preserve">diversity. </w:t>
      </w:r>
      <w:r>
        <w:rPr>
          <w:rFonts w:cstheme="minorHAnsi"/>
        </w:rPr>
        <w:t xml:space="preserve">In Bogor the focus is on religious </w:t>
      </w:r>
      <w:proofErr w:type="gramStart"/>
      <w:r>
        <w:rPr>
          <w:rFonts w:cstheme="minorHAnsi"/>
        </w:rPr>
        <w:t>diversity;</w:t>
      </w:r>
      <w:proofErr w:type="gramEnd"/>
      <w:r>
        <w:rPr>
          <w:rFonts w:cstheme="minorHAnsi"/>
        </w:rPr>
        <w:t xml:space="preserve"> in Makassar on tolerance among youth groups. </w:t>
      </w:r>
    </w:p>
    <w:p w14:paraId="531684BD" w14:textId="1CA6A76C" w:rsidR="002F2181" w:rsidRDefault="0002062F" w:rsidP="00CB4E33">
      <w:pPr>
        <w:tabs>
          <w:tab w:val="right" w:leader="underscore" w:pos="5760"/>
        </w:tabs>
        <w:spacing w:after="120"/>
        <w:jc w:val="both"/>
        <w:rPr>
          <w:rFonts w:cstheme="minorHAnsi"/>
        </w:rPr>
      </w:pPr>
      <w:r>
        <w:rPr>
          <w:rFonts w:cstheme="minorHAnsi"/>
        </w:rPr>
        <w:t xml:space="preserve">MADANI has in </w:t>
      </w:r>
      <w:r w:rsidR="002F2181">
        <w:rPr>
          <w:rFonts w:cstheme="minorHAnsi"/>
        </w:rPr>
        <w:t xml:space="preserve">2021-202 </w:t>
      </w:r>
      <w:r w:rsidR="00177C8D">
        <w:rPr>
          <w:rFonts w:cstheme="minorHAnsi"/>
        </w:rPr>
        <w:t xml:space="preserve">also </w:t>
      </w:r>
      <w:r w:rsidR="002F2181">
        <w:rPr>
          <w:rFonts w:cstheme="minorHAnsi"/>
        </w:rPr>
        <w:t xml:space="preserve">in </w:t>
      </w:r>
      <w:r>
        <w:rPr>
          <w:rFonts w:cstheme="minorHAnsi"/>
        </w:rPr>
        <w:t>collaboration with GusDurian (</w:t>
      </w:r>
      <w:r w:rsidRPr="0002062F">
        <w:rPr>
          <w:rFonts w:cstheme="minorHAnsi"/>
        </w:rPr>
        <w:t>Yayasan Bani Kyai Haji Abdurrahman Wahid</w:t>
      </w:r>
      <w:r>
        <w:rPr>
          <w:rFonts w:cstheme="minorHAnsi"/>
        </w:rPr>
        <w:t xml:space="preserve"> or YBAW)</w:t>
      </w:r>
      <w:r w:rsidR="002F2181" w:rsidRPr="002F2181">
        <w:rPr>
          <w:rFonts w:cstheme="minorHAnsi"/>
        </w:rPr>
        <w:t xml:space="preserve"> work</w:t>
      </w:r>
      <w:r w:rsidR="002F2181">
        <w:rPr>
          <w:rFonts w:cstheme="minorHAnsi"/>
        </w:rPr>
        <w:t xml:space="preserve">ed </w:t>
      </w:r>
      <w:r w:rsidR="002F2181" w:rsidRPr="002F2181">
        <w:rPr>
          <w:rFonts w:cstheme="minorHAnsi"/>
        </w:rPr>
        <w:t xml:space="preserve">more upstream to ensure that </w:t>
      </w:r>
      <w:r w:rsidR="002F2181">
        <w:rPr>
          <w:rFonts w:cstheme="minorHAnsi"/>
        </w:rPr>
        <w:t xml:space="preserve">an </w:t>
      </w:r>
      <w:r w:rsidR="002F2181" w:rsidRPr="002F2181">
        <w:rPr>
          <w:rFonts w:cstheme="minorHAnsi"/>
        </w:rPr>
        <w:t xml:space="preserve">increasing </w:t>
      </w:r>
      <w:r w:rsidR="002F2181">
        <w:rPr>
          <w:rFonts w:cstheme="minorHAnsi"/>
        </w:rPr>
        <w:t xml:space="preserve">religious and social </w:t>
      </w:r>
      <w:r w:rsidR="002F2181" w:rsidRPr="002F2181">
        <w:rPr>
          <w:rFonts w:cstheme="minorHAnsi"/>
        </w:rPr>
        <w:t>conservatism does not lead to radicalism and extremism.</w:t>
      </w:r>
      <w:r w:rsidR="002F2181">
        <w:rPr>
          <w:rFonts w:cstheme="minorHAnsi"/>
        </w:rPr>
        <w:t xml:space="preserve"> By mainstreaming tolerance to all partners, </w:t>
      </w:r>
      <w:r w:rsidR="002F2181" w:rsidRPr="002F2181">
        <w:rPr>
          <w:rFonts w:cstheme="minorHAnsi"/>
        </w:rPr>
        <w:t>GusDurian</w:t>
      </w:r>
      <w:r w:rsidR="002F2181">
        <w:rPr>
          <w:rFonts w:cstheme="minorHAnsi"/>
        </w:rPr>
        <w:t xml:space="preserve"> </w:t>
      </w:r>
      <w:r w:rsidR="002F2181" w:rsidRPr="002F2181">
        <w:rPr>
          <w:rFonts w:cstheme="minorHAnsi"/>
        </w:rPr>
        <w:t>provide a set of learning tools for MADANI Lead Partners and Leaning Forum CSOs and local activists to strengthen communal tolerance and carry out campaigning around social inclusion and diversity.</w:t>
      </w:r>
    </w:p>
    <w:p w14:paraId="51BFB053" w14:textId="1CF39B71" w:rsidR="00CB4E33" w:rsidRDefault="00121FDB" w:rsidP="00CB4E33">
      <w:pPr>
        <w:tabs>
          <w:tab w:val="right" w:leader="underscore" w:pos="5760"/>
        </w:tabs>
        <w:spacing w:after="120"/>
        <w:jc w:val="both"/>
        <w:rPr>
          <w:rFonts w:cstheme="minorHAnsi"/>
        </w:rPr>
      </w:pPr>
      <w:r w:rsidRPr="00121FDB">
        <w:rPr>
          <w:rFonts w:cstheme="minorHAnsi"/>
          <w:shd w:val="clear" w:color="auto" w:fill="FFFFFF"/>
        </w:rPr>
        <w:t>Civil society organizations have proven their valuable role as representatives of citizen interests and support democratic process. The role of CSOs to implement democratic values is seeing very critical, including supporting conducive environment where community participation is making Indonesia a just, tolerant, prosperous, and inclusive democr</w:t>
      </w:r>
      <w:r w:rsidRPr="00796621">
        <w:rPr>
          <w:rFonts w:cstheme="minorHAnsi"/>
          <w:color w:val="333333"/>
          <w:shd w:val="clear" w:color="auto" w:fill="FFFFFF"/>
        </w:rPr>
        <w:t xml:space="preserve">acy. </w:t>
      </w:r>
      <w:r w:rsidR="005A1745">
        <w:rPr>
          <w:rFonts w:cstheme="minorHAnsi"/>
        </w:rPr>
        <w:t xml:space="preserve">Therefore, </w:t>
      </w:r>
      <w:r w:rsidR="004E26E4">
        <w:rPr>
          <w:rFonts w:cstheme="minorHAnsi"/>
        </w:rPr>
        <w:t xml:space="preserve">MADANI is seeking to recruit an individual </w:t>
      </w:r>
      <w:r w:rsidR="004E26E4">
        <w:rPr>
          <w:rFonts w:cstheme="minorHAnsi"/>
        </w:rPr>
        <w:lastRenderedPageBreak/>
        <w:t xml:space="preserve">consultant </w:t>
      </w:r>
      <w:r w:rsidR="00CB4E33" w:rsidRPr="00EF2158">
        <w:rPr>
          <w:rFonts w:cstheme="minorHAnsi"/>
        </w:rPr>
        <w:t xml:space="preserve">provide evidence-based policy recommendation </w:t>
      </w:r>
      <w:r w:rsidR="00057FAF">
        <w:rPr>
          <w:rFonts w:cstheme="minorHAnsi"/>
        </w:rPr>
        <w:t>of</w:t>
      </w:r>
      <w:r w:rsidR="00CB4E33" w:rsidRPr="00EF2158">
        <w:rPr>
          <w:rFonts w:cstheme="minorHAnsi"/>
        </w:rPr>
        <w:t xml:space="preserve"> CSO</w:t>
      </w:r>
      <w:r w:rsidR="00057FAF">
        <w:rPr>
          <w:rFonts w:cstheme="minorHAnsi"/>
        </w:rPr>
        <w:t xml:space="preserve"> role in </w:t>
      </w:r>
      <w:r w:rsidR="00B04367">
        <w:rPr>
          <w:rFonts w:cstheme="minorHAnsi"/>
        </w:rPr>
        <w:t xml:space="preserve">accommodating </w:t>
      </w:r>
      <w:r w:rsidR="00541A55">
        <w:rPr>
          <w:rFonts w:cstheme="minorHAnsi"/>
        </w:rPr>
        <w:t xml:space="preserve">social </w:t>
      </w:r>
      <w:r w:rsidR="0002062F">
        <w:rPr>
          <w:rFonts w:cstheme="minorHAnsi"/>
        </w:rPr>
        <w:t xml:space="preserve">and religious </w:t>
      </w:r>
      <w:r w:rsidR="00541A55">
        <w:rPr>
          <w:rFonts w:cstheme="minorHAnsi"/>
        </w:rPr>
        <w:t xml:space="preserve">diversity </w:t>
      </w:r>
      <w:r w:rsidR="00B04367">
        <w:rPr>
          <w:rFonts w:cstheme="minorHAnsi"/>
        </w:rPr>
        <w:t>and youth inclusion</w:t>
      </w:r>
      <w:r w:rsidR="00CB4E33" w:rsidRPr="00EF2158">
        <w:rPr>
          <w:rFonts w:cstheme="minorHAnsi"/>
        </w:rPr>
        <w:t xml:space="preserve"> </w:t>
      </w:r>
      <w:r w:rsidR="00066CC6">
        <w:rPr>
          <w:rFonts w:cstheme="minorHAnsi"/>
        </w:rPr>
        <w:t>as well as to</w:t>
      </w:r>
      <w:r w:rsidR="00CB4E33" w:rsidRPr="00EF2158">
        <w:rPr>
          <w:rFonts w:cstheme="minorHAnsi"/>
        </w:rPr>
        <w:t xml:space="preserve"> provide tailored advice to accompany advocacy strategy to scale up MADANI’s best practice at the national level.</w:t>
      </w:r>
    </w:p>
    <w:p w14:paraId="75B0A067" w14:textId="77777777" w:rsidR="00CB4E33" w:rsidRPr="0014560B" w:rsidRDefault="00CB4E33" w:rsidP="00CB4E33">
      <w:pPr>
        <w:tabs>
          <w:tab w:val="right" w:leader="underscore" w:pos="5760"/>
        </w:tabs>
        <w:spacing w:after="120"/>
      </w:pPr>
      <w:r w:rsidRPr="0014560B">
        <w:rPr>
          <w:b/>
          <w:i/>
        </w:rPr>
        <w:t>Detailed Description of Tasks to be Performed:</w:t>
      </w:r>
    </w:p>
    <w:p w14:paraId="140695C4" w14:textId="4B690982" w:rsidR="00CB4E33" w:rsidRPr="00882B37" w:rsidRDefault="00CB4E33" w:rsidP="00CB4E33">
      <w:pPr>
        <w:spacing w:before="120" w:after="120"/>
        <w:jc w:val="both"/>
        <w:rPr>
          <w:rFonts w:ascii="Calibri" w:hAnsi="Calibri" w:cs="Calibri"/>
        </w:rPr>
      </w:pPr>
      <w:bookmarkStart w:id="1" w:name="_Hlk75872555"/>
      <w:r w:rsidRPr="00692ED6">
        <w:t xml:space="preserve">To provide technical support and assistance of policy recommendation development and related advocacy on </w:t>
      </w:r>
      <w:r w:rsidR="00BA6CFB" w:rsidRPr="00692ED6">
        <w:t>s</w:t>
      </w:r>
      <w:r w:rsidRPr="00692ED6">
        <w:t>ocial</w:t>
      </w:r>
      <w:r w:rsidR="0002062F">
        <w:t xml:space="preserve"> and religious</w:t>
      </w:r>
      <w:r w:rsidR="00BA6CFB" w:rsidRPr="00692ED6">
        <w:t xml:space="preserve"> d</w:t>
      </w:r>
      <w:r w:rsidRPr="00692ED6">
        <w:t>iversity</w:t>
      </w:r>
      <w:r w:rsidR="00BA6CFB" w:rsidRPr="00692ED6">
        <w:t xml:space="preserve"> and youth inclusion</w:t>
      </w:r>
      <w:r w:rsidRPr="00692ED6">
        <w:t>.</w:t>
      </w:r>
      <w:r>
        <w:t xml:space="preserve"> MADANI will engage the service of individual consultancy to undertake different stage of development process of policy recommendation while engage to relevant stakeholders and MADANI Lead Partners. Policy</w:t>
      </w:r>
      <w:r w:rsidRPr="00121FDB">
        <w:t xml:space="preserve"> recommendation</w:t>
      </w:r>
      <w:r>
        <w:t xml:space="preserve"> is expected to assess how MADANI intervention/approaches</w:t>
      </w:r>
      <w:r w:rsidR="002F2181">
        <w:t xml:space="preserve"> (both in the Bogor/Makassar as well as the tolerance mainstreaming through YBAW)</w:t>
      </w:r>
      <w:r>
        <w:t xml:space="preserve"> </w:t>
      </w:r>
      <w:r w:rsidRPr="00692ED6">
        <w:t>can complement national policy on social diversity and tolerance</w:t>
      </w:r>
      <w:r>
        <w:t xml:space="preserve">; develop advocacy strategy and action plan where MADANI can scale up the local solution; and develop recommendation to address the gaps in the existing legislations and policy frameworks including relevant guidance document to support implementation, enforcement, and monitoring of compliance with the regulation and </w:t>
      </w:r>
      <w:r w:rsidRPr="00882B37">
        <w:rPr>
          <w:rFonts w:ascii="Calibri" w:hAnsi="Calibri" w:cs="Calibri"/>
        </w:rPr>
        <w:t xml:space="preserve">policy. </w:t>
      </w:r>
    </w:p>
    <w:p w14:paraId="6D5ED4C5" w14:textId="77777777" w:rsidR="00CB4E33" w:rsidRPr="00882B37" w:rsidRDefault="00CB4E33" w:rsidP="00CB4E33">
      <w:pPr>
        <w:spacing w:after="120"/>
        <w:textAlignment w:val="baseline"/>
        <w:rPr>
          <w:rFonts w:ascii="Calibri" w:hAnsi="Calibri" w:cs="Calibri"/>
        </w:rPr>
      </w:pPr>
      <w:bookmarkStart w:id="2" w:name="_Hlk76550031"/>
      <w:r w:rsidRPr="00882B37">
        <w:rPr>
          <w:rFonts w:ascii="Calibri" w:hAnsi="Calibri" w:cs="Calibri"/>
        </w:rPr>
        <w:t>Under the direction and supervision of the Technical Director and Technical Team, the assistance to be provided by the consultant will include: </w:t>
      </w:r>
    </w:p>
    <w:bookmarkEnd w:id="1"/>
    <w:bookmarkEnd w:id="2"/>
    <w:p w14:paraId="6A157862" w14:textId="51BC9B84" w:rsidR="00CB4E33" w:rsidRDefault="00CB4E33" w:rsidP="00CB4E33">
      <w:pPr>
        <w:pStyle w:val="ListParagraph"/>
        <w:numPr>
          <w:ilvl w:val="0"/>
          <w:numId w:val="1"/>
        </w:numPr>
        <w:tabs>
          <w:tab w:val="right" w:leader="underscore" w:pos="5760"/>
        </w:tabs>
        <w:jc w:val="both"/>
        <w:rPr>
          <w:rFonts w:ascii="Calibri" w:hAnsi="Calibri" w:cs="Calibri"/>
          <w:sz w:val="22"/>
          <w:szCs w:val="22"/>
        </w:rPr>
      </w:pPr>
      <w:r w:rsidRPr="00882B37">
        <w:rPr>
          <w:rFonts w:ascii="Calibri" w:hAnsi="Calibri" w:cs="Calibri"/>
          <w:sz w:val="22"/>
          <w:szCs w:val="22"/>
        </w:rPr>
        <w:t xml:space="preserve">Review existing and relevant policies at national, regional and district level to identify key gaps and challenges and </w:t>
      </w:r>
      <w:r w:rsidR="008034E1">
        <w:rPr>
          <w:rFonts w:ascii="Calibri" w:hAnsi="Calibri" w:cs="Calibri"/>
          <w:sz w:val="22"/>
          <w:szCs w:val="22"/>
        </w:rPr>
        <w:t>a</w:t>
      </w:r>
      <w:r w:rsidRPr="00882B37">
        <w:rPr>
          <w:rFonts w:ascii="Calibri" w:hAnsi="Calibri" w:cs="Calibri"/>
          <w:sz w:val="22"/>
          <w:szCs w:val="22"/>
        </w:rPr>
        <w:t>ssess the ground reality and complimentary sector policy (if any)</w:t>
      </w:r>
    </w:p>
    <w:p w14:paraId="0F69367B" w14:textId="09544BFC" w:rsidR="00FA7F16" w:rsidRDefault="00F279ED" w:rsidP="00CB4E33">
      <w:pPr>
        <w:pStyle w:val="ListParagraph"/>
        <w:numPr>
          <w:ilvl w:val="0"/>
          <w:numId w:val="1"/>
        </w:numPr>
        <w:tabs>
          <w:tab w:val="right" w:leader="underscore" w:pos="5760"/>
        </w:tabs>
        <w:jc w:val="both"/>
        <w:rPr>
          <w:rFonts w:ascii="Calibri" w:hAnsi="Calibri" w:cs="Calibri"/>
          <w:sz w:val="22"/>
          <w:szCs w:val="22"/>
        </w:rPr>
      </w:pPr>
      <w:r>
        <w:rPr>
          <w:rFonts w:ascii="Calibri" w:hAnsi="Calibri" w:cs="Calibri"/>
          <w:sz w:val="22"/>
          <w:szCs w:val="22"/>
        </w:rPr>
        <w:t xml:space="preserve">Review </w:t>
      </w:r>
      <w:r w:rsidR="00CA4E61">
        <w:rPr>
          <w:rFonts w:ascii="Calibri" w:hAnsi="Calibri" w:cs="Calibri"/>
          <w:sz w:val="22"/>
          <w:szCs w:val="22"/>
        </w:rPr>
        <w:t>MADANI</w:t>
      </w:r>
      <w:r w:rsidR="0015507E">
        <w:rPr>
          <w:rFonts w:ascii="Calibri" w:hAnsi="Calibri" w:cs="Calibri"/>
          <w:sz w:val="22"/>
          <w:szCs w:val="22"/>
        </w:rPr>
        <w:t>’s</w:t>
      </w:r>
      <w:r w:rsidR="00CA4E61">
        <w:rPr>
          <w:rFonts w:ascii="Calibri" w:hAnsi="Calibri" w:cs="Calibri"/>
          <w:sz w:val="22"/>
          <w:szCs w:val="22"/>
        </w:rPr>
        <w:t xml:space="preserve"> </w:t>
      </w:r>
      <w:r w:rsidR="006B6A7E">
        <w:rPr>
          <w:rFonts w:ascii="Calibri" w:hAnsi="Calibri" w:cs="Calibri"/>
          <w:sz w:val="22"/>
          <w:szCs w:val="22"/>
        </w:rPr>
        <w:t xml:space="preserve">documents, </w:t>
      </w:r>
      <w:r w:rsidR="00DC415B">
        <w:rPr>
          <w:rFonts w:ascii="Calibri" w:hAnsi="Calibri" w:cs="Calibri"/>
          <w:sz w:val="22"/>
          <w:szCs w:val="22"/>
        </w:rPr>
        <w:t>identify best practice</w:t>
      </w:r>
      <w:r w:rsidR="003B359D">
        <w:rPr>
          <w:rFonts w:ascii="Calibri" w:hAnsi="Calibri" w:cs="Calibri"/>
          <w:sz w:val="22"/>
          <w:szCs w:val="22"/>
        </w:rPr>
        <w:t xml:space="preserve">, </w:t>
      </w:r>
      <w:r w:rsidR="003B4FB1">
        <w:rPr>
          <w:rFonts w:ascii="Calibri" w:hAnsi="Calibri" w:cs="Calibri"/>
          <w:sz w:val="22"/>
          <w:szCs w:val="22"/>
        </w:rPr>
        <w:t>lesson learn</w:t>
      </w:r>
      <w:r w:rsidR="00A007A3">
        <w:rPr>
          <w:rFonts w:ascii="Calibri" w:hAnsi="Calibri" w:cs="Calibri"/>
          <w:sz w:val="22"/>
          <w:szCs w:val="22"/>
        </w:rPr>
        <w:t xml:space="preserve"> and </w:t>
      </w:r>
      <w:r w:rsidR="003B4FB1">
        <w:rPr>
          <w:rFonts w:ascii="Calibri" w:hAnsi="Calibri" w:cs="Calibri"/>
          <w:sz w:val="22"/>
          <w:szCs w:val="22"/>
        </w:rPr>
        <w:t>limitation</w:t>
      </w:r>
      <w:r w:rsidR="0024301E">
        <w:rPr>
          <w:rFonts w:ascii="Calibri" w:hAnsi="Calibri" w:cs="Calibri"/>
          <w:sz w:val="22"/>
          <w:szCs w:val="22"/>
        </w:rPr>
        <w:t xml:space="preserve"> of MADANI intervention</w:t>
      </w:r>
      <w:r w:rsidR="006E748B">
        <w:rPr>
          <w:rFonts w:ascii="Calibri" w:hAnsi="Calibri" w:cs="Calibri"/>
          <w:sz w:val="22"/>
          <w:szCs w:val="22"/>
        </w:rPr>
        <w:t xml:space="preserve"> </w:t>
      </w:r>
      <w:r w:rsidR="00A72E6F" w:rsidRPr="00EF2158">
        <w:rPr>
          <w:rFonts w:asciiTheme="minorHAnsi" w:hAnsiTheme="minorHAnsi" w:cstheme="minorHAnsi"/>
          <w:sz w:val="22"/>
          <w:szCs w:val="22"/>
        </w:rPr>
        <w:t>include activities aim to increase</w:t>
      </w:r>
      <w:r w:rsidR="00C70A77">
        <w:rPr>
          <w:rFonts w:asciiTheme="minorHAnsi" w:hAnsiTheme="minorHAnsi" w:cstheme="minorHAnsi"/>
          <w:sz w:val="22"/>
          <w:szCs w:val="22"/>
        </w:rPr>
        <w:t xml:space="preserve"> community and youth tolerance in Bogor and Makassar, and </w:t>
      </w:r>
      <w:r w:rsidR="00E93D67">
        <w:rPr>
          <w:rFonts w:asciiTheme="minorHAnsi" w:hAnsiTheme="minorHAnsi" w:cstheme="minorHAnsi"/>
          <w:sz w:val="22"/>
          <w:szCs w:val="22"/>
        </w:rPr>
        <w:t xml:space="preserve">the </w:t>
      </w:r>
      <w:r w:rsidR="0027732A">
        <w:rPr>
          <w:rFonts w:asciiTheme="minorHAnsi" w:hAnsiTheme="minorHAnsi" w:cstheme="minorHAnsi"/>
          <w:sz w:val="22"/>
          <w:szCs w:val="22"/>
        </w:rPr>
        <w:t xml:space="preserve">tolerance </w:t>
      </w:r>
      <w:r w:rsidR="004A4C0F">
        <w:rPr>
          <w:rFonts w:asciiTheme="minorHAnsi" w:hAnsiTheme="minorHAnsi" w:cstheme="minorHAnsi"/>
          <w:sz w:val="22"/>
          <w:szCs w:val="22"/>
        </w:rPr>
        <w:t xml:space="preserve">mainstreaming </w:t>
      </w:r>
      <w:r w:rsidR="0027732A">
        <w:rPr>
          <w:rFonts w:ascii="Calibri" w:hAnsi="Calibri" w:cs="Calibri"/>
          <w:sz w:val="22"/>
          <w:szCs w:val="22"/>
        </w:rPr>
        <w:t xml:space="preserve">approach </w:t>
      </w:r>
      <w:r w:rsidR="00982E90">
        <w:rPr>
          <w:rFonts w:ascii="Calibri" w:hAnsi="Calibri" w:cs="Calibri"/>
          <w:sz w:val="22"/>
          <w:szCs w:val="22"/>
        </w:rPr>
        <w:t>which has</w:t>
      </w:r>
      <w:r w:rsidR="005264A5">
        <w:rPr>
          <w:rFonts w:ascii="Calibri" w:hAnsi="Calibri" w:cs="Calibri"/>
          <w:sz w:val="22"/>
          <w:szCs w:val="22"/>
        </w:rPr>
        <w:t xml:space="preserve"> </w:t>
      </w:r>
      <w:r w:rsidR="000C50D0">
        <w:rPr>
          <w:rFonts w:ascii="Calibri" w:hAnsi="Calibri" w:cs="Calibri"/>
          <w:sz w:val="22"/>
          <w:szCs w:val="22"/>
        </w:rPr>
        <w:t>contributed</w:t>
      </w:r>
      <w:r w:rsidR="005264A5">
        <w:rPr>
          <w:rFonts w:ascii="Calibri" w:hAnsi="Calibri" w:cs="Calibri"/>
          <w:sz w:val="22"/>
          <w:szCs w:val="22"/>
        </w:rPr>
        <w:t xml:space="preserve"> to </w:t>
      </w:r>
      <w:r w:rsidR="00820867">
        <w:rPr>
          <w:rFonts w:ascii="Calibri" w:hAnsi="Calibri" w:cs="Calibri"/>
          <w:sz w:val="22"/>
          <w:szCs w:val="22"/>
        </w:rPr>
        <w:t xml:space="preserve">increase tolerance perspective in </w:t>
      </w:r>
      <w:r w:rsidR="0027732A">
        <w:rPr>
          <w:rFonts w:ascii="Calibri" w:hAnsi="Calibri" w:cs="Calibri"/>
          <w:sz w:val="22"/>
          <w:szCs w:val="22"/>
        </w:rPr>
        <w:t xml:space="preserve">32 </w:t>
      </w:r>
      <w:r w:rsidR="00820867">
        <w:rPr>
          <w:rFonts w:ascii="Calibri" w:hAnsi="Calibri" w:cs="Calibri"/>
          <w:sz w:val="22"/>
          <w:szCs w:val="22"/>
        </w:rPr>
        <w:t>district</w:t>
      </w:r>
      <w:r w:rsidR="006167D5">
        <w:rPr>
          <w:rFonts w:ascii="Calibri" w:hAnsi="Calibri" w:cs="Calibri"/>
          <w:sz w:val="22"/>
          <w:szCs w:val="22"/>
        </w:rPr>
        <w:t>s partners.</w:t>
      </w:r>
    </w:p>
    <w:p w14:paraId="510AE0D8" w14:textId="77777777" w:rsidR="00B41A30" w:rsidRPr="00B41A30" w:rsidRDefault="00B41A30" w:rsidP="00B41A30">
      <w:pPr>
        <w:pStyle w:val="ListParagraph"/>
        <w:numPr>
          <w:ilvl w:val="0"/>
          <w:numId w:val="1"/>
        </w:numPr>
        <w:rPr>
          <w:rFonts w:ascii="Calibri" w:hAnsi="Calibri" w:cs="Calibri"/>
          <w:sz w:val="22"/>
          <w:szCs w:val="22"/>
        </w:rPr>
      </w:pPr>
      <w:r w:rsidRPr="00B41A30">
        <w:rPr>
          <w:rFonts w:ascii="Calibri" w:hAnsi="Calibri" w:cs="Calibri"/>
          <w:sz w:val="22"/>
          <w:szCs w:val="22"/>
        </w:rPr>
        <w:t>Cary out series of interview with two CSO Lead Partners, Learning Forum and other relevant stakeholders in Bogor and Makassar, and in collaboration with MADANI do a quick on-line survey of best practices in other LPs, and conduct multisectoral consultation/FGDs with key ministries (Ministry of Home Affair, Ministry of Religious Affair, Ministry of Social Affairs, etc.) and provincial government</w:t>
      </w:r>
    </w:p>
    <w:p w14:paraId="3AA212C9" w14:textId="3BB5FA9F" w:rsidR="00CB4E33" w:rsidRPr="00882B37" w:rsidRDefault="00CB4E33" w:rsidP="00CB4E33">
      <w:pPr>
        <w:pStyle w:val="ListParagraph"/>
        <w:numPr>
          <w:ilvl w:val="0"/>
          <w:numId w:val="1"/>
        </w:numPr>
        <w:tabs>
          <w:tab w:val="right" w:leader="underscore" w:pos="5760"/>
        </w:tabs>
        <w:jc w:val="both"/>
        <w:rPr>
          <w:rFonts w:ascii="Calibri" w:hAnsi="Calibri" w:cs="Calibri"/>
          <w:sz w:val="22"/>
          <w:szCs w:val="22"/>
        </w:rPr>
      </w:pPr>
      <w:r w:rsidRPr="00882B37">
        <w:rPr>
          <w:rFonts w:ascii="Calibri" w:hAnsi="Calibri" w:cs="Calibri"/>
          <w:sz w:val="22"/>
          <w:szCs w:val="22"/>
        </w:rPr>
        <w:t xml:space="preserve">Submit the first draft including policy recommendation, action plan and advocacy strategy on social diversity </w:t>
      </w:r>
      <w:r w:rsidR="00D05AFA">
        <w:rPr>
          <w:rFonts w:ascii="Calibri" w:hAnsi="Calibri" w:cs="Calibri"/>
          <w:sz w:val="22"/>
          <w:szCs w:val="22"/>
        </w:rPr>
        <w:t>and youth inclusion</w:t>
      </w:r>
      <w:r w:rsidRPr="00882B37">
        <w:rPr>
          <w:rFonts w:ascii="Calibri" w:hAnsi="Calibri" w:cs="Calibri"/>
          <w:sz w:val="22"/>
          <w:szCs w:val="22"/>
        </w:rPr>
        <w:t xml:space="preserve">. </w:t>
      </w:r>
    </w:p>
    <w:p w14:paraId="7A7321AF" w14:textId="77777777" w:rsidR="001F48C5" w:rsidRDefault="00CB4E33" w:rsidP="00506FE6">
      <w:pPr>
        <w:pStyle w:val="ListParagraph"/>
        <w:numPr>
          <w:ilvl w:val="0"/>
          <w:numId w:val="1"/>
        </w:numPr>
        <w:tabs>
          <w:tab w:val="right" w:leader="underscore" w:pos="5760"/>
        </w:tabs>
        <w:jc w:val="both"/>
        <w:rPr>
          <w:rFonts w:ascii="Calibri" w:hAnsi="Calibri" w:cs="Calibri"/>
          <w:sz w:val="22"/>
          <w:szCs w:val="22"/>
        </w:rPr>
      </w:pPr>
      <w:r w:rsidRPr="00882B37">
        <w:rPr>
          <w:rFonts w:ascii="Calibri" w:hAnsi="Calibri" w:cs="Calibri"/>
          <w:sz w:val="22"/>
          <w:szCs w:val="22"/>
        </w:rPr>
        <w:t xml:space="preserve">Final draft consolidates all inputs and comments </w:t>
      </w:r>
    </w:p>
    <w:p w14:paraId="4D5F684F" w14:textId="4AFD820E" w:rsidR="00506FE6" w:rsidRPr="001F48C5" w:rsidRDefault="00506FE6" w:rsidP="00506FE6">
      <w:pPr>
        <w:pStyle w:val="ListParagraph"/>
        <w:numPr>
          <w:ilvl w:val="0"/>
          <w:numId w:val="1"/>
        </w:numPr>
        <w:tabs>
          <w:tab w:val="right" w:leader="underscore" w:pos="5760"/>
        </w:tabs>
        <w:jc w:val="both"/>
        <w:rPr>
          <w:rFonts w:ascii="Calibri" w:hAnsi="Calibri" w:cs="Calibri"/>
          <w:sz w:val="22"/>
          <w:szCs w:val="22"/>
        </w:rPr>
      </w:pPr>
      <w:r w:rsidRPr="001F48C5">
        <w:rPr>
          <w:rFonts w:ascii="Calibri" w:hAnsi="Calibri" w:cs="Calibri"/>
          <w:sz w:val="22"/>
          <w:szCs w:val="22"/>
        </w:rPr>
        <w:t xml:space="preserve">Conduct roadshow workshop/policy dialogue to disseminate finding and knowledge sharing on the recommendation at national level </w:t>
      </w:r>
    </w:p>
    <w:p w14:paraId="77536175" w14:textId="77777777" w:rsidR="00CB4E33" w:rsidRPr="001F48C5" w:rsidRDefault="00CB4E33" w:rsidP="001F48C5">
      <w:pPr>
        <w:pStyle w:val="ListParagraph"/>
        <w:tabs>
          <w:tab w:val="right" w:leader="underscore" w:pos="5760"/>
        </w:tabs>
        <w:jc w:val="both"/>
        <w:rPr>
          <w:rFonts w:ascii="Calibri" w:hAnsi="Calibri" w:cs="Calibri"/>
          <w:sz w:val="22"/>
          <w:szCs w:val="22"/>
        </w:rPr>
      </w:pPr>
    </w:p>
    <w:p w14:paraId="54CEABA1" w14:textId="40DA7EE4" w:rsidR="00CB4E33" w:rsidRPr="003B6AF8" w:rsidRDefault="00CB4E33" w:rsidP="00CB4E33">
      <w:pPr>
        <w:tabs>
          <w:tab w:val="right" w:leader="underscore" w:pos="5760"/>
        </w:tabs>
        <w:spacing w:after="120"/>
        <w:jc w:val="both"/>
        <w:rPr>
          <w:rFonts w:ascii="Calibri" w:hAnsi="Calibri" w:cs="Calibri"/>
          <w:b/>
          <w:bCs/>
        </w:rPr>
      </w:pPr>
      <w:r w:rsidRPr="003B6AF8">
        <w:rPr>
          <w:rFonts w:ascii="Calibri" w:hAnsi="Calibri" w:cs="Calibri"/>
          <w:b/>
          <w:bCs/>
          <w:lang w:val="en-GB"/>
        </w:rPr>
        <w:t xml:space="preserve">The consultant will work up to </w:t>
      </w:r>
      <w:r w:rsidR="00144BA9" w:rsidRPr="003B6AF8">
        <w:rPr>
          <w:rFonts w:ascii="Calibri" w:hAnsi="Calibri" w:cs="Calibri"/>
          <w:b/>
          <w:bCs/>
          <w:lang w:val="en-GB"/>
        </w:rPr>
        <w:t xml:space="preserve">25 </w:t>
      </w:r>
      <w:r w:rsidRPr="003B6AF8">
        <w:rPr>
          <w:rFonts w:ascii="Calibri" w:hAnsi="Calibri" w:cs="Calibri"/>
          <w:b/>
          <w:bCs/>
          <w:lang w:val="en-GB"/>
        </w:rPr>
        <w:t xml:space="preserve">days during </w:t>
      </w:r>
      <w:r w:rsidR="009471D9" w:rsidRPr="003B6AF8">
        <w:rPr>
          <w:rFonts w:ascii="Calibri" w:hAnsi="Calibri" w:cs="Calibri"/>
          <w:b/>
          <w:bCs/>
          <w:lang w:val="en-GB"/>
        </w:rPr>
        <w:t>March</w:t>
      </w:r>
      <w:r w:rsidRPr="003B6AF8">
        <w:rPr>
          <w:rFonts w:ascii="Calibri" w:hAnsi="Calibri" w:cs="Calibri"/>
          <w:b/>
          <w:bCs/>
          <w:lang w:val="en-GB"/>
        </w:rPr>
        <w:t xml:space="preserve"> 1, 2023 – </w:t>
      </w:r>
      <w:r w:rsidR="009471D9" w:rsidRPr="003B6AF8">
        <w:rPr>
          <w:rFonts w:ascii="Calibri" w:hAnsi="Calibri" w:cs="Calibri"/>
          <w:b/>
          <w:bCs/>
          <w:lang w:val="en-GB"/>
        </w:rPr>
        <w:t xml:space="preserve">June </w:t>
      </w:r>
      <w:r w:rsidR="00340B58" w:rsidRPr="003B6AF8">
        <w:rPr>
          <w:rFonts w:ascii="Calibri" w:hAnsi="Calibri" w:cs="Calibri"/>
          <w:b/>
          <w:bCs/>
          <w:lang w:val="en-GB"/>
        </w:rPr>
        <w:t>30</w:t>
      </w:r>
      <w:r w:rsidRPr="003B6AF8">
        <w:rPr>
          <w:rFonts w:ascii="Calibri" w:hAnsi="Calibri" w:cs="Calibri"/>
          <w:b/>
          <w:bCs/>
          <w:lang w:val="en-GB"/>
        </w:rPr>
        <w:t>, 2023</w:t>
      </w:r>
      <w:r w:rsidRPr="003B6AF8">
        <w:rPr>
          <w:rFonts w:ascii="Calibri" w:hAnsi="Calibri" w:cs="Calibri"/>
          <w:b/>
          <w:bCs/>
        </w:rPr>
        <w:t xml:space="preserve">. </w:t>
      </w:r>
    </w:p>
    <w:p w14:paraId="377A56E8" w14:textId="77777777" w:rsidR="00CB4E33" w:rsidRPr="00882B37" w:rsidRDefault="00CB4E33" w:rsidP="00CB4E33">
      <w:pPr>
        <w:tabs>
          <w:tab w:val="right" w:leader="underscore" w:pos="5760"/>
        </w:tabs>
        <w:spacing w:after="120"/>
        <w:rPr>
          <w:rFonts w:ascii="Calibri" w:hAnsi="Calibri" w:cs="Calibri"/>
          <w:b/>
          <w:i/>
        </w:rPr>
      </w:pPr>
      <w:r w:rsidRPr="00882B37">
        <w:rPr>
          <w:rFonts w:ascii="Calibri" w:hAnsi="Calibri" w:cs="Calibri"/>
          <w:b/>
          <w:i/>
        </w:rPr>
        <w:t>Deliverables &amp; Level of Effort:</w:t>
      </w:r>
    </w:p>
    <w:tbl>
      <w:tblPr>
        <w:tblStyle w:val="TableGrid1"/>
        <w:tblW w:w="0" w:type="auto"/>
        <w:tblLook w:val="04A0" w:firstRow="1" w:lastRow="0" w:firstColumn="1" w:lastColumn="0" w:noHBand="0" w:noVBand="1"/>
      </w:tblPr>
      <w:tblGrid>
        <w:gridCol w:w="511"/>
        <w:gridCol w:w="3023"/>
        <w:gridCol w:w="3036"/>
        <w:gridCol w:w="2780"/>
      </w:tblGrid>
      <w:tr w:rsidR="00CB4E33" w:rsidRPr="00882B37" w14:paraId="0E9A1E8A" w14:textId="77777777" w:rsidTr="00501FAA">
        <w:tc>
          <w:tcPr>
            <w:tcW w:w="511" w:type="dxa"/>
          </w:tcPr>
          <w:p w14:paraId="6B64E376" w14:textId="77777777" w:rsidR="00CB4E33" w:rsidRPr="00882B37" w:rsidRDefault="00CB4E33" w:rsidP="00880A6B">
            <w:pPr>
              <w:tabs>
                <w:tab w:val="right" w:leader="underscore" w:pos="5760"/>
              </w:tabs>
              <w:rPr>
                <w:rFonts w:ascii="Calibri" w:hAnsi="Calibri" w:cs="Calibri"/>
                <w:b/>
                <w:iCs/>
              </w:rPr>
            </w:pPr>
            <w:r w:rsidRPr="00882B37">
              <w:rPr>
                <w:rFonts w:ascii="Calibri" w:hAnsi="Calibri" w:cs="Calibri"/>
                <w:b/>
                <w:iCs/>
              </w:rPr>
              <w:t>No</w:t>
            </w:r>
          </w:p>
        </w:tc>
        <w:tc>
          <w:tcPr>
            <w:tcW w:w="3023" w:type="dxa"/>
          </w:tcPr>
          <w:p w14:paraId="18771643" w14:textId="77777777" w:rsidR="00CB4E33" w:rsidRPr="00882B37" w:rsidRDefault="00CB4E33" w:rsidP="00880A6B">
            <w:pPr>
              <w:tabs>
                <w:tab w:val="right" w:leader="underscore" w:pos="5760"/>
              </w:tabs>
              <w:jc w:val="center"/>
              <w:rPr>
                <w:rFonts w:ascii="Calibri" w:hAnsi="Calibri" w:cs="Calibri"/>
                <w:b/>
                <w:iCs/>
              </w:rPr>
            </w:pPr>
            <w:r w:rsidRPr="00882B37">
              <w:rPr>
                <w:rFonts w:ascii="Calibri" w:hAnsi="Calibri" w:cs="Calibri"/>
                <w:b/>
                <w:iCs/>
              </w:rPr>
              <w:t>Milestone Description</w:t>
            </w:r>
          </w:p>
          <w:p w14:paraId="2B9DCD80" w14:textId="77777777" w:rsidR="00CB4E33" w:rsidRPr="00882B37" w:rsidRDefault="00CB4E33" w:rsidP="00880A6B">
            <w:pPr>
              <w:tabs>
                <w:tab w:val="right" w:leader="underscore" w:pos="5760"/>
              </w:tabs>
              <w:jc w:val="center"/>
              <w:rPr>
                <w:rFonts w:ascii="Calibri" w:hAnsi="Calibri" w:cs="Calibri"/>
                <w:b/>
                <w:iCs/>
              </w:rPr>
            </w:pPr>
          </w:p>
        </w:tc>
        <w:tc>
          <w:tcPr>
            <w:tcW w:w="3036" w:type="dxa"/>
          </w:tcPr>
          <w:p w14:paraId="5FE17413" w14:textId="77777777" w:rsidR="00CB4E33" w:rsidRPr="00882B37" w:rsidRDefault="00CB4E33" w:rsidP="00880A6B">
            <w:pPr>
              <w:tabs>
                <w:tab w:val="right" w:leader="underscore" w:pos="5760"/>
              </w:tabs>
              <w:jc w:val="center"/>
              <w:rPr>
                <w:rFonts w:ascii="Calibri" w:hAnsi="Calibri" w:cs="Calibri"/>
                <w:b/>
                <w:iCs/>
              </w:rPr>
            </w:pPr>
            <w:r w:rsidRPr="00882B37">
              <w:rPr>
                <w:rFonts w:ascii="Calibri" w:hAnsi="Calibri" w:cs="Calibri"/>
                <w:b/>
                <w:iCs/>
              </w:rPr>
              <w:t>Deliverable Description</w:t>
            </w:r>
          </w:p>
        </w:tc>
        <w:tc>
          <w:tcPr>
            <w:tcW w:w="2780" w:type="dxa"/>
          </w:tcPr>
          <w:p w14:paraId="672EEF2A" w14:textId="77777777" w:rsidR="00CB4E33" w:rsidRPr="00882B37" w:rsidRDefault="00CB4E33" w:rsidP="00880A6B">
            <w:pPr>
              <w:tabs>
                <w:tab w:val="right" w:leader="underscore" w:pos="5760"/>
              </w:tabs>
              <w:jc w:val="center"/>
              <w:rPr>
                <w:rFonts w:ascii="Calibri" w:hAnsi="Calibri" w:cs="Calibri"/>
                <w:b/>
                <w:iCs/>
              </w:rPr>
            </w:pPr>
            <w:r w:rsidRPr="00882B37">
              <w:rPr>
                <w:rFonts w:ascii="Calibri" w:hAnsi="Calibri" w:cs="Calibri"/>
                <w:b/>
                <w:iCs/>
              </w:rPr>
              <w:t>Estimated LOE and Target Due Dates</w:t>
            </w:r>
          </w:p>
        </w:tc>
      </w:tr>
      <w:tr w:rsidR="00CB4E33" w:rsidRPr="00882B37" w14:paraId="200E7970" w14:textId="77777777" w:rsidTr="00501FAA">
        <w:tc>
          <w:tcPr>
            <w:tcW w:w="511" w:type="dxa"/>
          </w:tcPr>
          <w:p w14:paraId="49924669" w14:textId="77777777" w:rsidR="00CB4E33" w:rsidRPr="00882B37" w:rsidRDefault="00CB4E33" w:rsidP="00880A6B">
            <w:pPr>
              <w:tabs>
                <w:tab w:val="right" w:leader="underscore" w:pos="5760"/>
              </w:tabs>
              <w:rPr>
                <w:rFonts w:ascii="Calibri" w:hAnsi="Calibri" w:cs="Calibri"/>
                <w:bCs/>
                <w:iCs/>
              </w:rPr>
            </w:pPr>
            <w:r w:rsidRPr="00882B37">
              <w:rPr>
                <w:rFonts w:ascii="Calibri" w:hAnsi="Calibri" w:cs="Calibri"/>
                <w:bCs/>
                <w:iCs/>
              </w:rPr>
              <w:t>1</w:t>
            </w:r>
          </w:p>
        </w:tc>
        <w:tc>
          <w:tcPr>
            <w:tcW w:w="3023" w:type="dxa"/>
          </w:tcPr>
          <w:p w14:paraId="4789006E" w14:textId="16650E03" w:rsidR="00B210B1" w:rsidRDefault="00CB4E33" w:rsidP="00880A6B">
            <w:pPr>
              <w:tabs>
                <w:tab w:val="right" w:leader="underscore" w:pos="5760"/>
              </w:tabs>
              <w:rPr>
                <w:rFonts w:ascii="Calibri" w:hAnsi="Calibri" w:cs="Calibri"/>
              </w:rPr>
            </w:pPr>
            <w:r w:rsidRPr="00882B37">
              <w:rPr>
                <w:rFonts w:ascii="Calibri" w:hAnsi="Calibri" w:cs="Calibri"/>
              </w:rPr>
              <w:t xml:space="preserve">Review existing and relevant policies at national, regional and district level to identify key gaps and challenges and </w:t>
            </w:r>
            <w:r w:rsidR="00B210B1">
              <w:rPr>
                <w:rFonts w:ascii="Calibri" w:hAnsi="Calibri" w:cs="Calibri"/>
              </w:rPr>
              <w:t>a</w:t>
            </w:r>
            <w:r w:rsidR="00B210B1" w:rsidRPr="00882B37">
              <w:rPr>
                <w:rFonts w:ascii="Calibri" w:hAnsi="Calibri" w:cs="Calibri"/>
              </w:rPr>
              <w:t>ssess the ground reality and complimentary sector policy</w:t>
            </w:r>
          </w:p>
          <w:p w14:paraId="1ED18D58" w14:textId="77777777" w:rsidR="00B210B1" w:rsidRDefault="00B210B1" w:rsidP="00880A6B">
            <w:pPr>
              <w:tabs>
                <w:tab w:val="right" w:leader="underscore" w:pos="5760"/>
              </w:tabs>
              <w:rPr>
                <w:rFonts w:ascii="Calibri" w:hAnsi="Calibri" w:cs="Calibri"/>
              </w:rPr>
            </w:pPr>
          </w:p>
          <w:p w14:paraId="0BA3FF6B" w14:textId="3DD74170" w:rsidR="00CB4E33" w:rsidRPr="00882B37" w:rsidRDefault="00CB4E33" w:rsidP="00880A6B">
            <w:pPr>
              <w:tabs>
                <w:tab w:val="right" w:leader="underscore" w:pos="5760"/>
              </w:tabs>
              <w:rPr>
                <w:rFonts w:ascii="Calibri" w:hAnsi="Calibri" w:cs="Calibri"/>
                <w:bCs/>
                <w:iCs/>
              </w:rPr>
            </w:pPr>
          </w:p>
        </w:tc>
        <w:tc>
          <w:tcPr>
            <w:tcW w:w="3036" w:type="dxa"/>
          </w:tcPr>
          <w:p w14:paraId="2D8A541C" w14:textId="77777777" w:rsidR="00CB4E33" w:rsidRPr="00882B37" w:rsidRDefault="00CB4E33" w:rsidP="00CB4E33">
            <w:pPr>
              <w:pStyle w:val="ListParagraph"/>
              <w:numPr>
                <w:ilvl w:val="0"/>
                <w:numId w:val="2"/>
              </w:numPr>
              <w:tabs>
                <w:tab w:val="right" w:leader="underscore" w:pos="5760"/>
              </w:tabs>
              <w:ind w:left="185" w:hanging="180"/>
              <w:rPr>
                <w:rFonts w:ascii="Calibri" w:hAnsi="Calibri" w:cs="Calibri"/>
                <w:sz w:val="22"/>
                <w:szCs w:val="22"/>
              </w:rPr>
            </w:pPr>
            <w:r w:rsidRPr="00882B37">
              <w:rPr>
                <w:rFonts w:ascii="Calibri" w:hAnsi="Calibri" w:cs="Calibri"/>
                <w:sz w:val="22"/>
                <w:szCs w:val="22"/>
              </w:rPr>
              <w:t xml:space="preserve">Inception report that includes work plan indicating the approach, methodology, list of identified stakeholders/ key resources, timeline of activities and proposed outline of report </w:t>
            </w:r>
          </w:p>
          <w:p w14:paraId="2EC97E67" w14:textId="396BC359" w:rsidR="00CB4E33" w:rsidRPr="00882B37" w:rsidRDefault="00CB4E33" w:rsidP="00CB4E33">
            <w:pPr>
              <w:pStyle w:val="ListParagraph"/>
              <w:numPr>
                <w:ilvl w:val="0"/>
                <w:numId w:val="2"/>
              </w:numPr>
              <w:tabs>
                <w:tab w:val="right" w:leader="underscore" w:pos="5760"/>
              </w:tabs>
              <w:ind w:left="185" w:hanging="180"/>
              <w:rPr>
                <w:rFonts w:ascii="Calibri" w:hAnsi="Calibri" w:cs="Calibri"/>
                <w:sz w:val="22"/>
                <w:szCs w:val="22"/>
              </w:rPr>
            </w:pPr>
            <w:r w:rsidRPr="00882B37">
              <w:rPr>
                <w:rFonts w:ascii="Calibri" w:hAnsi="Calibri" w:cs="Calibri"/>
                <w:sz w:val="22"/>
                <w:szCs w:val="22"/>
              </w:rPr>
              <w:t xml:space="preserve">Summary finding of desk </w:t>
            </w:r>
            <w:r w:rsidRPr="00882B37">
              <w:rPr>
                <w:rFonts w:ascii="Calibri" w:hAnsi="Calibri" w:cs="Calibri"/>
                <w:sz w:val="22"/>
                <w:szCs w:val="22"/>
              </w:rPr>
              <w:lastRenderedPageBreak/>
              <w:t>review of existing policies at national and sub-national level; policy engagement &amp; advocacy work at two pilot locations including gaps and challenges</w:t>
            </w:r>
          </w:p>
        </w:tc>
        <w:tc>
          <w:tcPr>
            <w:tcW w:w="2780" w:type="dxa"/>
          </w:tcPr>
          <w:p w14:paraId="03031328" w14:textId="2F3843A5" w:rsidR="00CB4E33" w:rsidRPr="00882B37" w:rsidRDefault="00756209" w:rsidP="00880A6B">
            <w:pPr>
              <w:tabs>
                <w:tab w:val="right" w:leader="underscore" w:pos="5760"/>
              </w:tabs>
              <w:rPr>
                <w:rFonts w:ascii="Calibri" w:hAnsi="Calibri" w:cs="Calibri"/>
                <w:bCs/>
                <w:i/>
              </w:rPr>
            </w:pPr>
            <w:r>
              <w:rPr>
                <w:rFonts w:ascii="Calibri" w:hAnsi="Calibri" w:cs="Calibri"/>
                <w:bCs/>
                <w:iCs/>
              </w:rPr>
              <w:lastRenderedPageBreak/>
              <w:t>4</w:t>
            </w:r>
            <w:r w:rsidR="00CB4E33" w:rsidRPr="00882B37">
              <w:rPr>
                <w:rFonts w:ascii="Calibri" w:hAnsi="Calibri" w:cs="Calibri"/>
                <w:bCs/>
                <w:iCs/>
              </w:rPr>
              <w:t xml:space="preserve"> days</w:t>
            </w:r>
            <w:r w:rsidR="0058205F">
              <w:rPr>
                <w:rFonts w:ascii="Calibri" w:hAnsi="Calibri" w:cs="Calibri"/>
                <w:bCs/>
                <w:iCs/>
              </w:rPr>
              <w:t xml:space="preserve">, </w:t>
            </w:r>
            <w:r w:rsidR="00F070C3" w:rsidRPr="00F070C3">
              <w:rPr>
                <w:rFonts w:ascii="Calibri" w:hAnsi="Calibri" w:cs="Calibri"/>
                <w:bCs/>
                <w:i/>
              </w:rPr>
              <w:t>two weeks</w:t>
            </w:r>
            <w:r w:rsidR="0058205F" w:rsidRPr="00F070C3">
              <w:rPr>
                <w:rFonts w:ascii="Calibri" w:hAnsi="Calibri" w:cs="Calibri"/>
                <w:bCs/>
                <w:i/>
              </w:rPr>
              <w:t xml:space="preserve"> after contract signed</w:t>
            </w:r>
          </w:p>
          <w:p w14:paraId="2802A1ED" w14:textId="77777777" w:rsidR="00CB4E33" w:rsidRPr="00882B37" w:rsidRDefault="00CB4E33" w:rsidP="00880A6B">
            <w:pPr>
              <w:tabs>
                <w:tab w:val="right" w:leader="underscore" w:pos="5760"/>
              </w:tabs>
              <w:rPr>
                <w:rFonts w:ascii="Calibri" w:hAnsi="Calibri" w:cs="Calibri"/>
                <w:bCs/>
                <w:i/>
                <w:iCs/>
              </w:rPr>
            </w:pPr>
          </w:p>
          <w:p w14:paraId="080AC404" w14:textId="77777777" w:rsidR="00CB4E33" w:rsidRPr="00882B37" w:rsidRDefault="00CB4E33" w:rsidP="00880A6B">
            <w:pPr>
              <w:tabs>
                <w:tab w:val="right" w:leader="underscore" w:pos="5760"/>
              </w:tabs>
              <w:rPr>
                <w:rFonts w:ascii="Calibri" w:hAnsi="Calibri" w:cs="Calibri"/>
                <w:bCs/>
                <w:iCs/>
              </w:rPr>
            </w:pPr>
          </w:p>
        </w:tc>
      </w:tr>
      <w:tr w:rsidR="000774B2" w:rsidRPr="00882B37" w14:paraId="511925CD" w14:textId="77777777" w:rsidTr="00501FAA">
        <w:tc>
          <w:tcPr>
            <w:tcW w:w="511" w:type="dxa"/>
          </w:tcPr>
          <w:p w14:paraId="2073E295" w14:textId="4CCC17FE" w:rsidR="000774B2" w:rsidRPr="00882B37" w:rsidRDefault="000774B2" w:rsidP="00880A6B">
            <w:pPr>
              <w:tabs>
                <w:tab w:val="right" w:leader="underscore" w:pos="5760"/>
              </w:tabs>
              <w:rPr>
                <w:rFonts w:ascii="Calibri" w:hAnsi="Calibri" w:cs="Calibri"/>
                <w:bCs/>
                <w:iCs/>
              </w:rPr>
            </w:pPr>
            <w:r>
              <w:rPr>
                <w:rFonts w:ascii="Calibri" w:hAnsi="Calibri" w:cs="Calibri"/>
                <w:bCs/>
                <w:iCs/>
              </w:rPr>
              <w:t>2</w:t>
            </w:r>
          </w:p>
        </w:tc>
        <w:tc>
          <w:tcPr>
            <w:tcW w:w="3023" w:type="dxa"/>
          </w:tcPr>
          <w:p w14:paraId="41F64420" w14:textId="77777777" w:rsidR="000774B2" w:rsidRPr="00A45230" w:rsidRDefault="000774B2" w:rsidP="00A45230">
            <w:pPr>
              <w:tabs>
                <w:tab w:val="right" w:leader="underscore" w:pos="5760"/>
              </w:tabs>
              <w:jc w:val="both"/>
              <w:rPr>
                <w:rFonts w:ascii="Calibri" w:hAnsi="Calibri" w:cs="Calibri"/>
              </w:rPr>
            </w:pPr>
            <w:r w:rsidRPr="00A45230">
              <w:rPr>
                <w:rFonts w:ascii="Calibri" w:hAnsi="Calibri" w:cs="Calibri"/>
              </w:rPr>
              <w:t xml:space="preserve">Review MADANI’s documents, identify best practice, lesson learn and limitation of MADANI intervention which has contribute to social diversity and youth inclusion </w:t>
            </w:r>
          </w:p>
          <w:p w14:paraId="18C83131" w14:textId="77777777" w:rsidR="000774B2" w:rsidRPr="00882B37" w:rsidRDefault="000774B2" w:rsidP="00880A6B">
            <w:pPr>
              <w:tabs>
                <w:tab w:val="right" w:leader="underscore" w:pos="5760"/>
              </w:tabs>
              <w:rPr>
                <w:rFonts w:ascii="Calibri" w:hAnsi="Calibri" w:cs="Calibri"/>
              </w:rPr>
            </w:pPr>
          </w:p>
        </w:tc>
        <w:tc>
          <w:tcPr>
            <w:tcW w:w="3036" w:type="dxa"/>
          </w:tcPr>
          <w:p w14:paraId="5313EE14" w14:textId="3E82E2D4" w:rsidR="000774B2" w:rsidRPr="00501FAA" w:rsidRDefault="00331192" w:rsidP="00501FAA">
            <w:pPr>
              <w:tabs>
                <w:tab w:val="right" w:leader="underscore" w:pos="5760"/>
              </w:tabs>
              <w:rPr>
                <w:rFonts w:cstheme="minorHAnsi"/>
              </w:rPr>
            </w:pPr>
            <w:r w:rsidRPr="00501FAA">
              <w:rPr>
                <w:rFonts w:cstheme="minorHAnsi"/>
              </w:rPr>
              <w:t xml:space="preserve">Report finding of best practice, lesson learn and changes of selected MADANI lead partner and </w:t>
            </w:r>
            <w:r w:rsidR="00B37B54" w:rsidRPr="00501FAA">
              <w:rPr>
                <w:rFonts w:cstheme="minorHAnsi"/>
              </w:rPr>
              <w:t>Learning Forum</w:t>
            </w:r>
            <w:r w:rsidRPr="00501FAA">
              <w:rPr>
                <w:rFonts w:cstheme="minorHAnsi"/>
              </w:rPr>
              <w:t xml:space="preserve"> which focus on </w:t>
            </w:r>
            <w:r w:rsidR="00B37B54" w:rsidRPr="00501FAA">
              <w:rPr>
                <w:rFonts w:cstheme="minorHAnsi"/>
              </w:rPr>
              <w:t>social diversity thematic issues</w:t>
            </w:r>
          </w:p>
        </w:tc>
        <w:tc>
          <w:tcPr>
            <w:tcW w:w="2780" w:type="dxa"/>
          </w:tcPr>
          <w:p w14:paraId="3EA167D5" w14:textId="1332DB75" w:rsidR="000774B2" w:rsidRPr="00882B37" w:rsidRDefault="00CB7624" w:rsidP="00880A6B">
            <w:pPr>
              <w:tabs>
                <w:tab w:val="right" w:leader="underscore" w:pos="5760"/>
              </w:tabs>
              <w:rPr>
                <w:rFonts w:ascii="Calibri" w:hAnsi="Calibri" w:cs="Calibri"/>
                <w:bCs/>
                <w:iCs/>
              </w:rPr>
            </w:pPr>
            <w:r>
              <w:rPr>
                <w:rFonts w:ascii="Calibri" w:hAnsi="Calibri" w:cs="Calibri"/>
                <w:bCs/>
                <w:iCs/>
              </w:rPr>
              <w:t>3 days</w:t>
            </w:r>
            <w:r w:rsidR="00CC3CDA">
              <w:rPr>
                <w:rFonts w:ascii="Calibri" w:hAnsi="Calibri" w:cs="Calibri"/>
                <w:bCs/>
                <w:iCs/>
              </w:rPr>
              <w:t xml:space="preserve">, </w:t>
            </w:r>
            <w:r w:rsidR="00CC3CDA" w:rsidRPr="00CC3CDA">
              <w:rPr>
                <w:rFonts w:ascii="Calibri" w:hAnsi="Calibri" w:cs="Calibri"/>
                <w:bCs/>
                <w:i/>
              </w:rPr>
              <w:t>one months after contract signed.</w:t>
            </w:r>
            <w:r>
              <w:rPr>
                <w:rFonts w:ascii="Calibri" w:hAnsi="Calibri" w:cs="Calibri"/>
                <w:bCs/>
                <w:iCs/>
              </w:rPr>
              <w:t xml:space="preserve"> </w:t>
            </w:r>
          </w:p>
        </w:tc>
      </w:tr>
      <w:tr w:rsidR="009B5718" w:rsidRPr="00882B37" w14:paraId="47BE775D" w14:textId="77777777" w:rsidTr="00501FAA">
        <w:tc>
          <w:tcPr>
            <w:tcW w:w="511" w:type="dxa"/>
          </w:tcPr>
          <w:p w14:paraId="664DFCAF" w14:textId="70F5FB8E" w:rsidR="009B5718" w:rsidRDefault="009B5718" w:rsidP="00880A6B">
            <w:pPr>
              <w:tabs>
                <w:tab w:val="right" w:leader="underscore" w:pos="5760"/>
              </w:tabs>
              <w:rPr>
                <w:rFonts w:ascii="Calibri" w:hAnsi="Calibri" w:cs="Calibri"/>
                <w:bCs/>
                <w:iCs/>
              </w:rPr>
            </w:pPr>
            <w:r>
              <w:rPr>
                <w:rFonts w:ascii="Calibri" w:hAnsi="Calibri" w:cs="Calibri"/>
                <w:bCs/>
                <w:iCs/>
              </w:rPr>
              <w:t>3</w:t>
            </w:r>
          </w:p>
        </w:tc>
        <w:tc>
          <w:tcPr>
            <w:tcW w:w="3023" w:type="dxa"/>
          </w:tcPr>
          <w:p w14:paraId="1453D25F" w14:textId="77777777" w:rsidR="00CC3CDA" w:rsidRDefault="009B5718" w:rsidP="00CC3CDA">
            <w:pPr>
              <w:tabs>
                <w:tab w:val="right" w:leader="underscore" w:pos="5760"/>
              </w:tabs>
              <w:jc w:val="both"/>
              <w:rPr>
                <w:rFonts w:ascii="Calibri" w:hAnsi="Calibri" w:cs="Calibri"/>
              </w:rPr>
            </w:pPr>
            <w:r w:rsidRPr="009B5718">
              <w:rPr>
                <w:rFonts w:ascii="Calibri" w:hAnsi="Calibri" w:cs="Calibri"/>
              </w:rPr>
              <w:t>Cary out series of interview with two CSO Lead Partners, Learning Forum and other relevant stakeholders in Bogor and Makassar</w:t>
            </w:r>
          </w:p>
          <w:p w14:paraId="78AB97F3" w14:textId="77777777" w:rsidR="00CC3CDA" w:rsidRDefault="00CC3CDA" w:rsidP="00CC3CDA">
            <w:pPr>
              <w:tabs>
                <w:tab w:val="right" w:leader="underscore" w:pos="5760"/>
              </w:tabs>
              <w:jc w:val="both"/>
              <w:rPr>
                <w:rFonts w:ascii="Calibri" w:hAnsi="Calibri" w:cs="Calibri"/>
              </w:rPr>
            </w:pPr>
          </w:p>
          <w:p w14:paraId="0DC547E6" w14:textId="275D4F17" w:rsidR="00CC3CDA" w:rsidRPr="00882B37" w:rsidRDefault="00CC3CDA" w:rsidP="00CC3CDA">
            <w:pPr>
              <w:tabs>
                <w:tab w:val="right" w:leader="underscore" w:pos="5760"/>
              </w:tabs>
              <w:jc w:val="both"/>
              <w:rPr>
                <w:rFonts w:ascii="Calibri" w:hAnsi="Calibri" w:cs="Calibri"/>
              </w:rPr>
            </w:pPr>
            <w:r w:rsidRPr="00882B37">
              <w:rPr>
                <w:rFonts w:ascii="Calibri" w:hAnsi="Calibri" w:cs="Calibri"/>
              </w:rPr>
              <w:t>Conduct FGD with key ministry (Ministry of Home Affair, Ministry of religious affair,</w:t>
            </w:r>
            <w:r>
              <w:rPr>
                <w:rFonts w:ascii="Calibri" w:hAnsi="Calibri" w:cs="Calibri"/>
              </w:rPr>
              <w:t xml:space="preserve"> ministry of social affair</w:t>
            </w:r>
            <w:r w:rsidRPr="00882B37">
              <w:rPr>
                <w:rFonts w:ascii="Calibri" w:hAnsi="Calibri" w:cs="Calibri"/>
              </w:rPr>
              <w:t xml:space="preserve"> </w:t>
            </w:r>
            <w:proofErr w:type="spellStart"/>
            <w:r w:rsidRPr="00882B37">
              <w:rPr>
                <w:rFonts w:ascii="Calibri" w:hAnsi="Calibri" w:cs="Calibri"/>
              </w:rPr>
              <w:t>ect</w:t>
            </w:r>
            <w:proofErr w:type="spellEnd"/>
            <w:r w:rsidRPr="00882B37">
              <w:rPr>
                <w:rFonts w:ascii="Calibri" w:hAnsi="Calibri" w:cs="Calibri"/>
              </w:rPr>
              <w:t>)</w:t>
            </w:r>
            <w:r>
              <w:rPr>
                <w:rFonts w:ascii="Calibri" w:hAnsi="Calibri" w:cs="Calibri"/>
              </w:rPr>
              <w:t xml:space="preserve"> and provincial government </w:t>
            </w:r>
          </w:p>
          <w:p w14:paraId="1C8041CE" w14:textId="6463F8CD" w:rsidR="009B5718" w:rsidRPr="009B5718" w:rsidRDefault="009B5718" w:rsidP="009B5718">
            <w:pPr>
              <w:tabs>
                <w:tab w:val="right" w:leader="underscore" w:pos="5760"/>
              </w:tabs>
              <w:jc w:val="both"/>
              <w:rPr>
                <w:rFonts w:ascii="Calibri" w:hAnsi="Calibri" w:cs="Calibri"/>
              </w:rPr>
            </w:pPr>
          </w:p>
          <w:p w14:paraId="58E3C267" w14:textId="77777777" w:rsidR="009B5718" w:rsidRPr="00882B37" w:rsidRDefault="009B5718" w:rsidP="00880A6B">
            <w:pPr>
              <w:tabs>
                <w:tab w:val="right" w:leader="underscore" w:pos="5760"/>
              </w:tabs>
              <w:jc w:val="both"/>
              <w:rPr>
                <w:rFonts w:ascii="Calibri" w:hAnsi="Calibri" w:cs="Calibri"/>
              </w:rPr>
            </w:pPr>
          </w:p>
        </w:tc>
        <w:tc>
          <w:tcPr>
            <w:tcW w:w="3036" w:type="dxa"/>
          </w:tcPr>
          <w:p w14:paraId="34A5DAC9" w14:textId="17DFC16E" w:rsidR="009B5718" w:rsidRPr="00882B37" w:rsidRDefault="00501FAA" w:rsidP="00880A6B">
            <w:pPr>
              <w:tabs>
                <w:tab w:val="right" w:leader="underscore" w:pos="5760"/>
              </w:tabs>
              <w:rPr>
                <w:rFonts w:ascii="Calibri" w:hAnsi="Calibri" w:cs="Calibri"/>
              </w:rPr>
            </w:pPr>
            <w:r w:rsidRPr="00EF2158">
              <w:rPr>
                <w:rFonts w:cstheme="minorHAnsi"/>
              </w:rPr>
              <w:t>Finding report that includes summary of findings, documentations, and list of resource person, interview materials/questions</w:t>
            </w:r>
          </w:p>
        </w:tc>
        <w:tc>
          <w:tcPr>
            <w:tcW w:w="2780" w:type="dxa"/>
          </w:tcPr>
          <w:p w14:paraId="59C7240A" w14:textId="03259BD3" w:rsidR="009B5718" w:rsidRPr="00882B37" w:rsidRDefault="00CC3CDA" w:rsidP="00880A6B">
            <w:pPr>
              <w:tabs>
                <w:tab w:val="right" w:leader="underscore" w:pos="5760"/>
              </w:tabs>
              <w:rPr>
                <w:rFonts w:ascii="Calibri" w:hAnsi="Calibri" w:cs="Calibri"/>
                <w:bCs/>
                <w:iCs/>
              </w:rPr>
            </w:pPr>
            <w:r>
              <w:rPr>
                <w:rFonts w:ascii="Calibri" w:hAnsi="Calibri" w:cs="Calibri"/>
                <w:bCs/>
                <w:iCs/>
              </w:rPr>
              <w:t>6</w:t>
            </w:r>
            <w:r w:rsidR="006628F3">
              <w:rPr>
                <w:rFonts w:ascii="Calibri" w:hAnsi="Calibri" w:cs="Calibri"/>
                <w:bCs/>
                <w:iCs/>
              </w:rPr>
              <w:t xml:space="preserve"> days</w:t>
            </w:r>
            <w:r>
              <w:rPr>
                <w:rFonts w:ascii="Calibri" w:hAnsi="Calibri" w:cs="Calibri"/>
                <w:bCs/>
                <w:iCs/>
              </w:rPr>
              <w:t xml:space="preserve">, </w:t>
            </w:r>
            <w:r w:rsidRPr="00CC3CDA">
              <w:rPr>
                <w:rFonts w:ascii="Calibri" w:hAnsi="Calibri" w:cs="Calibri"/>
                <w:bCs/>
                <w:i/>
              </w:rPr>
              <w:t>6 weeks after contract signed</w:t>
            </w:r>
          </w:p>
        </w:tc>
      </w:tr>
      <w:tr w:rsidR="00CB4E33" w:rsidRPr="00882B37" w14:paraId="0FDA57A9" w14:textId="77777777" w:rsidTr="00501FAA">
        <w:tc>
          <w:tcPr>
            <w:tcW w:w="511" w:type="dxa"/>
          </w:tcPr>
          <w:p w14:paraId="65FC8049" w14:textId="332430F8" w:rsidR="00CB4E33" w:rsidRPr="00882B37" w:rsidRDefault="002C588E" w:rsidP="00880A6B">
            <w:pPr>
              <w:tabs>
                <w:tab w:val="right" w:leader="underscore" w:pos="5760"/>
              </w:tabs>
              <w:rPr>
                <w:rFonts w:ascii="Calibri" w:hAnsi="Calibri" w:cs="Calibri"/>
                <w:bCs/>
                <w:iCs/>
              </w:rPr>
            </w:pPr>
            <w:r>
              <w:rPr>
                <w:rFonts w:ascii="Calibri" w:hAnsi="Calibri" w:cs="Calibri"/>
                <w:bCs/>
                <w:iCs/>
              </w:rPr>
              <w:t>4</w:t>
            </w:r>
          </w:p>
        </w:tc>
        <w:tc>
          <w:tcPr>
            <w:tcW w:w="3023" w:type="dxa"/>
          </w:tcPr>
          <w:p w14:paraId="22D24ACF" w14:textId="2FE221B0" w:rsidR="00CB4E33" w:rsidRPr="00882B37" w:rsidRDefault="00CB4E33" w:rsidP="00880A6B">
            <w:pPr>
              <w:tabs>
                <w:tab w:val="right" w:leader="underscore" w:pos="5760"/>
              </w:tabs>
              <w:jc w:val="both"/>
              <w:rPr>
                <w:rFonts w:ascii="Calibri" w:hAnsi="Calibri" w:cs="Calibri"/>
              </w:rPr>
            </w:pPr>
            <w:r w:rsidRPr="00882B37">
              <w:rPr>
                <w:rFonts w:ascii="Calibri" w:hAnsi="Calibri" w:cs="Calibri"/>
              </w:rPr>
              <w:t xml:space="preserve">Submit the first draft including policy recommendation, action plan and advocacy strategy on social diversity </w:t>
            </w:r>
            <w:r w:rsidR="004660FD">
              <w:rPr>
                <w:rFonts w:ascii="Calibri" w:hAnsi="Calibri" w:cs="Calibri"/>
              </w:rPr>
              <w:t xml:space="preserve">and social inclusion </w:t>
            </w:r>
          </w:p>
          <w:p w14:paraId="788CBC51" w14:textId="77777777" w:rsidR="00CB4E33" w:rsidRPr="00882B37" w:rsidRDefault="00CB4E33" w:rsidP="00880A6B">
            <w:pPr>
              <w:tabs>
                <w:tab w:val="right" w:leader="underscore" w:pos="5760"/>
              </w:tabs>
              <w:rPr>
                <w:rFonts w:ascii="Calibri" w:hAnsi="Calibri" w:cs="Calibri"/>
              </w:rPr>
            </w:pPr>
          </w:p>
        </w:tc>
        <w:tc>
          <w:tcPr>
            <w:tcW w:w="3036" w:type="dxa"/>
          </w:tcPr>
          <w:p w14:paraId="4A215674" w14:textId="3C4D41A6" w:rsidR="00CB4E33" w:rsidRPr="00882B37" w:rsidRDefault="008F4198" w:rsidP="00880A6B">
            <w:pPr>
              <w:tabs>
                <w:tab w:val="right" w:leader="underscore" w:pos="5760"/>
              </w:tabs>
              <w:rPr>
                <w:rFonts w:ascii="Calibri" w:hAnsi="Calibri" w:cs="Calibri"/>
              </w:rPr>
            </w:pPr>
            <w:r>
              <w:rPr>
                <w:rFonts w:ascii="Calibri" w:hAnsi="Calibri" w:cs="Calibri"/>
              </w:rPr>
              <w:t xml:space="preserve">Draft policy </w:t>
            </w:r>
            <w:r w:rsidR="00CB4E33" w:rsidRPr="00882B37">
              <w:rPr>
                <w:rFonts w:ascii="Calibri" w:hAnsi="Calibri" w:cs="Calibri"/>
              </w:rPr>
              <w:t>should include at least legal or policy framework which should govern or inform the social diversity policy; policy priority areas; best practices of local solution; institution arrangements; action plan and advocacy strategy; financial sustainability; M&amp;E</w:t>
            </w:r>
            <w:r w:rsidR="004660FD">
              <w:rPr>
                <w:rFonts w:ascii="Calibri" w:hAnsi="Calibri" w:cs="Calibri"/>
              </w:rPr>
              <w:t xml:space="preserve"> (</w:t>
            </w:r>
            <w:r>
              <w:rPr>
                <w:rFonts w:ascii="Calibri" w:hAnsi="Calibri" w:cs="Calibri"/>
              </w:rPr>
              <w:t>if applicable)</w:t>
            </w:r>
          </w:p>
        </w:tc>
        <w:tc>
          <w:tcPr>
            <w:tcW w:w="2780" w:type="dxa"/>
          </w:tcPr>
          <w:p w14:paraId="7BFE70AF" w14:textId="069931B2" w:rsidR="00CB4E33" w:rsidRPr="00882B37" w:rsidRDefault="005919B0" w:rsidP="00880A6B">
            <w:pPr>
              <w:tabs>
                <w:tab w:val="right" w:leader="underscore" w:pos="5760"/>
              </w:tabs>
              <w:rPr>
                <w:rFonts w:ascii="Calibri" w:hAnsi="Calibri" w:cs="Calibri"/>
                <w:bCs/>
                <w:i/>
              </w:rPr>
            </w:pPr>
            <w:r>
              <w:rPr>
                <w:rFonts w:ascii="Calibri" w:hAnsi="Calibri" w:cs="Calibri"/>
                <w:bCs/>
                <w:iCs/>
              </w:rPr>
              <w:t>4</w:t>
            </w:r>
            <w:r w:rsidR="00CB4E33" w:rsidRPr="00882B37">
              <w:rPr>
                <w:rFonts w:ascii="Calibri" w:hAnsi="Calibri" w:cs="Calibri"/>
                <w:bCs/>
                <w:iCs/>
              </w:rPr>
              <w:t xml:space="preserve"> days</w:t>
            </w:r>
            <w:r w:rsidR="002C588E">
              <w:rPr>
                <w:rFonts w:ascii="Calibri" w:hAnsi="Calibri" w:cs="Calibri"/>
                <w:bCs/>
                <w:iCs/>
              </w:rPr>
              <w:t xml:space="preserve">, </w:t>
            </w:r>
            <w:r w:rsidR="003B6AF8" w:rsidRPr="003B6AF8">
              <w:rPr>
                <w:rFonts w:ascii="Calibri" w:hAnsi="Calibri" w:cs="Calibri"/>
                <w:bCs/>
                <w:i/>
              </w:rPr>
              <w:t>10</w:t>
            </w:r>
            <w:r w:rsidR="002C588E">
              <w:rPr>
                <w:rFonts w:ascii="Calibri" w:hAnsi="Calibri" w:cs="Calibri"/>
                <w:bCs/>
                <w:iCs/>
              </w:rPr>
              <w:t xml:space="preserve"> </w:t>
            </w:r>
            <w:r w:rsidR="002C588E" w:rsidRPr="00CC3CDA">
              <w:rPr>
                <w:rFonts w:ascii="Calibri" w:hAnsi="Calibri" w:cs="Calibri"/>
                <w:bCs/>
                <w:i/>
              </w:rPr>
              <w:t>weeks after contract signed</w:t>
            </w:r>
          </w:p>
          <w:p w14:paraId="6B35F3E4" w14:textId="77777777" w:rsidR="00CB4E33" w:rsidRPr="00882B37" w:rsidRDefault="00CB4E33" w:rsidP="00880A6B">
            <w:pPr>
              <w:tabs>
                <w:tab w:val="right" w:leader="underscore" w:pos="5760"/>
              </w:tabs>
              <w:rPr>
                <w:rFonts w:ascii="Calibri" w:hAnsi="Calibri" w:cs="Calibri"/>
                <w:bCs/>
                <w:iCs/>
              </w:rPr>
            </w:pPr>
          </w:p>
        </w:tc>
      </w:tr>
      <w:tr w:rsidR="00CB4E33" w:rsidRPr="00882B37" w14:paraId="5ED4B790" w14:textId="77777777" w:rsidTr="00501FAA">
        <w:tc>
          <w:tcPr>
            <w:tcW w:w="511" w:type="dxa"/>
          </w:tcPr>
          <w:p w14:paraId="46619C2D" w14:textId="14B36B83" w:rsidR="00CB4E33" w:rsidRPr="00882B37" w:rsidRDefault="002C588E" w:rsidP="00880A6B">
            <w:pPr>
              <w:tabs>
                <w:tab w:val="right" w:leader="underscore" w:pos="5760"/>
              </w:tabs>
              <w:rPr>
                <w:rFonts w:ascii="Calibri" w:hAnsi="Calibri" w:cs="Calibri"/>
                <w:bCs/>
                <w:iCs/>
              </w:rPr>
            </w:pPr>
            <w:r>
              <w:rPr>
                <w:rFonts w:ascii="Calibri" w:hAnsi="Calibri" w:cs="Calibri"/>
                <w:bCs/>
                <w:iCs/>
              </w:rPr>
              <w:t>5</w:t>
            </w:r>
          </w:p>
        </w:tc>
        <w:tc>
          <w:tcPr>
            <w:tcW w:w="3023" w:type="dxa"/>
          </w:tcPr>
          <w:p w14:paraId="29B14384" w14:textId="77777777" w:rsidR="00CB4E33" w:rsidRPr="00882B37" w:rsidRDefault="00CB4E33" w:rsidP="00880A6B">
            <w:pPr>
              <w:tabs>
                <w:tab w:val="right" w:leader="underscore" w:pos="5760"/>
              </w:tabs>
              <w:jc w:val="both"/>
              <w:rPr>
                <w:rFonts w:ascii="Calibri" w:hAnsi="Calibri" w:cs="Calibri"/>
              </w:rPr>
            </w:pPr>
            <w:r w:rsidRPr="00882B37">
              <w:rPr>
                <w:rFonts w:ascii="Calibri" w:hAnsi="Calibri" w:cs="Calibri"/>
              </w:rPr>
              <w:t xml:space="preserve">Final draft consolidates all inputs and comments </w:t>
            </w:r>
          </w:p>
          <w:p w14:paraId="1077D847" w14:textId="77777777" w:rsidR="00CB4E33" w:rsidRPr="00882B37" w:rsidRDefault="00CB4E33" w:rsidP="00880A6B">
            <w:pPr>
              <w:tabs>
                <w:tab w:val="right" w:leader="underscore" w:pos="5760"/>
              </w:tabs>
              <w:rPr>
                <w:rFonts w:ascii="Calibri" w:hAnsi="Calibri" w:cs="Calibri"/>
              </w:rPr>
            </w:pPr>
          </w:p>
        </w:tc>
        <w:tc>
          <w:tcPr>
            <w:tcW w:w="3036" w:type="dxa"/>
          </w:tcPr>
          <w:p w14:paraId="60B0CD8B" w14:textId="77777777" w:rsidR="00CB4E33" w:rsidRPr="00882B37" w:rsidRDefault="00CB4E33" w:rsidP="00880A6B">
            <w:pPr>
              <w:tabs>
                <w:tab w:val="right" w:leader="underscore" w:pos="5760"/>
              </w:tabs>
              <w:rPr>
                <w:rFonts w:ascii="Calibri" w:hAnsi="Calibri" w:cs="Calibri"/>
                <w:bCs/>
                <w:iCs/>
              </w:rPr>
            </w:pPr>
            <w:r w:rsidRPr="00882B37">
              <w:rPr>
                <w:rFonts w:ascii="Calibri" w:hAnsi="Calibri" w:cs="Calibri"/>
                <w:bCs/>
                <w:iCs/>
              </w:rPr>
              <w:t>Final report should consolidate all the feedbacks and inputs from relevant stakeholders</w:t>
            </w:r>
          </w:p>
        </w:tc>
        <w:tc>
          <w:tcPr>
            <w:tcW w:w="2780" w:type="dxa"/>
          </w:tcPr>
          <w:p w14:paraId="79CA3EB6" w14:textId="684AEBB1" w:rsidR="00CB4E33" w:rsidRPr="00882B37" w:rsidRDefault="005919B0" w:rsidP="00880A6B">
            <w:pPr>
              <w:tabs>
                <w:tab w:val="right" w:leader="underscore" w:pos="5760"/>
              </w:tabs>
              <w:rPr>
                <w:rFonts w:ascii="Calibri" w:hAnsi="Calibri" w:cs="Calibri"/>
                <w:bCs/>
                <w:iCs/>
              </w:rPr>
            </w:pPr>
            <w:r>
              <w:rPr>
                <w:rFonts w:ascii="Calibri" w:hAnsi="Calibri" w:cs="Calibri"/>
                <w:bCs/>
                <w:iCs/>
              </w:rPr>
              <w:t>4</w:t>
            </w:r>
            <w:r w:rsidR="00CB4E33" w:rsidRPr="00882B37">
              <w:rPr>
                <w:rFonts w:ascii="Calibri" w:hAnsi="Calibri" w:cs="Calibri"/>
                <w:bCs/>
                <w:iCs/>
              </w:rPr>
              <w:t xml:space="preserve"> days</w:t>
            </w:r>
            <w:r w:rsidR="002C588E">
              <w:rPr>
                <w:rFonts w:ascii="Calibri" w:hAnsi="Calibri" w:cs="Calibri"/>
                <w:bCs/>
                <w:iCs/>
              </w:rPr>
              <w:t xml:space="preserve">, </w:t>
            </w:r>
            <w:r w:rsidR="003B6AF8" w:rsidRPr="003B6AF8">
              <w:rPr>
                <w:rFonts w:ascii="Calibri" w:hAnsi="Calibri" w:cs="Calibri"/>
                <w:bCs/>
                <w:i/>
              </w:rPr>
              <w:t>12</w:t>
            </w:r>
            <w:r w:rsidR="002C588E" w:rsidRPr="00CC3CDA">
              <w:rPr>
                <w:rFonts w:ascii="Calibri" w:hAnsi="Calibri" w:cs="Calibri"/>
                <w:bCs/>
                <w:i/>
              </w:rPr>
              <w:t xml:space="preserve"> weeks after contract signed</w:t>
            </w:r>
          </w:p>
        </w:tc>
      </w:tr>
      <w:tr w:rsidR="00CB4E33" w:rsidRPr="00882B37" w14:paraId="56C09E92" w14:textId="77777777" w:rsidTr="00501FAA">
        <w:tc>
          <w:tcPr>
            <w:tcW w:w="511" w:type="dxa"/>
          </w:tcPr>
          <w:p w14:paraId="2192FB70" w14:textId="4FABD1F1" w:rsidR="00CB4E33" w:rsidRPr="00882B37" w:rsidRDefault="002C588E" w:rsidP="00880A6B">
            <w:pPr>
              <w:tabs>
                <w:tab w:val="right" w:leader="underscore" w:pos="5760"/>
              </w:tabs>
              <w:rPr>
                <w:rFonts w:ascii="Calibri" w:hAnsi="Calibri" w:cs="Calibri"/>
                <w:bCs/>
                <w:iCs/>
              </w:rPr>
            </w:pPr>
            <w:r>
              <w:rPr>
                <w:rFonts w:ascii="Calibri" w:hAnsi="Calibri" w:cs="Calibri"/>
                <w:bCs/>
                <w:iCs/>
              </w:rPr>
              <w:t>6</w:t>
            </w:r>
          </w:p>
        </w:tc>
        <w:tc>
          <w:tcPr>
            <w:tcW w:w="3023" w:type="dxa"/>
          </w:tcPr>
          <w:p w14:paraId="1EC4AF49" w14:textId="7D45654A" w:rsidR="00CB4E33" w:rsidRPr="00882B37" w:rsidRDefault="00CB4E33" w:rsidP="00880A6B">
            <w:pPr>
              <w:tabs>
                <w:tab w:val="right" w:leader="underscore" w:pos="5760"/>
              </w:tabs>
              <w:rPr>
                <w:rFonts w:ascii="Calibri" w:hAnsi="Calibri" w:cs="Calibri"/>
                <w:bCs/>
                <w:iCs/>
              </w:rPr>
            </w:pPr>
            <w:r w:rsidRPr="00882B37">
              <w:rPr>
                <w:rFonts w:ascii="Calibri" w:hAnsi="Calibri" w:cs="Calibri"/>
              </w:rPr>
              <w:t xml:space="preserve">Conduct </w:t>
            </w:r>
            <w:r w:rsidR="008332C6">
              <w:rPr>
                <w:rFonts w:ascii="Calibri" w:hAnsi="Calibri" w:cs="Calibri"/>
              </w:rPr>
              <w:t xml:space="preserve">roadshow </w:t>
            </w:r>
            <w:r w:rsidRPr="00882B37">
              <w:rPr>
                <w:rFonts w:ascii="Calibri" w:hAnsi="Calibri" w:cs="Calibri"/>
              </w:rPr>
              <w:t>workshop/policy dialogue to disseminate finding and knowledge sharing on the recommendation at national level</w:t>
            </w:r>
            <w:r w:rsidRPr="00882B37">
              <w:rPr>
                <w:rFonts w:ascii="Calibri" w:hAnsi="Calibri" w:cs="Calibri"/>
                <w:bCs/>
                <w:iCs/>
              </w:rPr>
              <w:t xml:space="preserve"> </w:t>
            </w:r>
          </w:p>
        </w:tc>
        <w:tc>
          <w:tcPr>
            <w:tcW w:w="3036" w:type="dxa"/>
          </w:tcPr>
          <w:p w14:paraId="7A8554D0" w14:textId="109B0095" w:rsidR="00CB4E33" w:rsidRPr="00882B37" w:rsidRDefault="00CB4E33" w:rsidP="00880A6B">
            <w:pPr>
              <w:tabs>
                <w:tab w:val="right" w:leader="underscore" w:pos="5760"/>
              </w:tabs>
              <w:rPr>
                <w:rFonts w:ascii="Calibri" w:hAnsi="Calibri" w:cs="Calibri"/>
                <w:bCs/>
                <w:iCs/>
              </w:rPr>
            </w:pPr>
            <w:r w:rsidRPr="00882B37">
              <w:rPr>
                <w:rFonts w:ascii="Calibri" w:hAnsi="Calibri" w:cs="Calibri"/>
              </w:rPr>
              <w:t>Workshop report that includes summary of findings, documentations, and list of resource person, workshop materials</w:t>
            </w:r>
            <w:r w:rsidR="005C6813">
              <w:rPr>
                <w:rFonts w:ascii="Calibri" w:hAnsi="Calibri" w:cs="Calibri"/>
              </w:rPr>
              <w:t xml:space="preserve"> and feedback</w:t>
            </w:r>
            <w:r w:rsidR="007858DE">
              <w:rPr>
                <w:rFonts w:ascii="Calibri" w:hAnsi="Calibri" w:cs="Calibri"/>
              </w:rPr>
              <w:t>s</w:t>
            </w:r>
            <w:r w:rsidR="005C6813">
              <w:rPr>
                <w:rFonts w:ascii="Calibri" w:hAnsi="Calibri" w:cs="Calibri"/>
              </w:rPr>
              <w:t>/insight</w:t>
            </w:r>
            <w:r w:rsidR="007858DE">
              <w:rPr>
                <w:rFonts w:ascii="Calibri" w:hAnsi="Calibri" w:cs="Calibri"/>
              </w:rPr>
              <w:t>s</w:t>
            </w:r>
            <w:r w:rsidR="001A187D">
              <w:rPr>
                <w:rFonts w:ascii="Calibri" w:hAnsi="Calibri" w:cs="Calibri"/>
              </w:rPr>
              <w:t xml:space="preserve"> from relevant stakeholders</w:t>
            </w:r>
            <w:r w:rsidR="005C6813">
              <w:rPr>
                <w:rFonts w:ascii="Calibri" w:hAnsi="Calibri" w:cs="Calibri"/>
              </w:rPr>
              <w:t xml:space="preserve"> </w:t>
            </w:r>
          </w:p>
        </w:tc>
        <w:tc>
          <w:tcPr>
            <w:tcW w:w="2780" w:type="dxa"/>
          </w:tcPr>
          <w:p w14:paraId="6813B2D6" w14:textId="58316442" w:rsidR="00CB4E33" w:rsidRPr="00882B37" w:rsidRDefault="00144BA9" w:rsidP="00880A6B">
            <w:pPr>
              <w:tabs>
                <w:tab w:val="right" w:leader="underscore" w:pos="5760"/>
              </w:tabs>
              <w:rPr>
                <w:rFonts w:ascii="Calibri" w:hAnsi="Calibri" w:cs="Calibri"/>
                <w:bCs/>
                <w:iCs/>
              </w:rPr>
            </w:pPr>
            <w:r>
              <w:rPr>
                <w:rFonts w:ascii="Calibri" w:hAnsi="Calibri" w:cs="Calibri"/>
                <w:bCs/>
                <w:iCs/>
              </w:rPr>
              <w:t>4</w:t>
            </w:r>
            <w:r w:rsidRPr="00882B37">
              <w:rPr>
                <w:rFonts w:ascii="Calibri" w:hAnsi="Calibri" w:cs="Calibri"/>
                <w:bCs/>
                <w:iCs/>
              </w:rPr>
              <w:t xml:space="preserve"> </w:t>
            </w:r>
            <w:r w:rsidR="00CB4E33" w:rsidRPr="00882B37">
              <w:rPr>
                <w:rFonts w:ascii="Calibri" w:hAnsi="Calibri" w:cs="Calibri"/>
                <w:bCs/>
                <w:iCs/>
              </w:rPr>
              <w:t>days</w:t>
            </w:r>
            <w:r w:rsidR="002C588E">
              <w:rPr>
                <w:rFonts w:ascii="Calibri" w:hAnsi="Calibri" w:cs="Calibri"/>
                <w:bCs/>
                <w:iCs/>
              </w:rPr>
              <w:t xml:space="preserve">, </w:t>
            </w:r>
            <w:r w:rsidR="003B6AF8" w:rsidRPr="003B6AF8">
              <w:rPr>
                <w:rFonts w:ascii="Calibri" w:hAnsi="Calibri" w:cs="Calibri"/>
                <w:bCs/>
                <w:i/>
              </w:rPr>
              <w:t>15</w:t>
            </w:r>
            <w:r w:rsidR="002C588E" w:rsidRPr="00CC3CDA">
              <w:rPr>
                <w:rFonts w:ascii="Calibri" w:hAnsi="Calibri" w:cs="Calibri"/>
                <w:bCs/>
                <w:i/>
              </w:rPr>
              <w:t xml:space="preserve"> weeks after contract signed</w:t>
            </w:r>
          </w:p>
        </w:tc>
      </w:tr>
    </w:tbl>
    <w:p w14:paraId="36903748" w14:textId="77777777" w:rsidR="00CB4E33" w:rsidRPr="00882B37" w:rsidRDefault="00CB4E33" w:rsidP="00CB4E33">
      <w:pPr>
        <w:tabs>
          <w:tab w:val="right" w:leader="underscore" w:pos="5760"/>
        </w:tabs>
        <w:spacing w:after="120"/>
        <w:rPr>
          <w:rFonts w:ascii="Calibri" w:hAnsi="Calibri" w:cs="Calibri"/>
          <w:b/>
          <w:i/>
        </w:rPr>
      </w:pPr>
    </w:p>
    <w:p w14:paraId="06BBD21B" w14:textId="77777777" w:rsidR="00120154" w:rsidRPr="00EF2158" w:rsidRDefault="00120154" w:rsidP="00120154">
      <w:pPr>
        <w:spacing w:before="120" w:line="240" w:lineRule="auto"/>
        <w:jc w:val="both"/>
        <w:rPr>
          <w:rFonts w:cstheme="minorHAnsi"/>
          <w:color w:val="000000" w:themeColor="text1"/>
        </w:rPr>
      </w:pPr>
      <w:r w:rsidRPr="00EF2158">
        <w:rPr>
          <w:rFonts w:cstheme="minorHAnsi"/>
          <w:b/>
          <w:color w:val="000000" w:themeColor="text1"/>
          <w:u w:val="single"/>
        </w:rPr>
        <w:t xml:space="preserve">Qualification and Experience </w:t>
      </w:r>
    </w:p>
    <w:p w14:paraId="6E77F7AC" w14:textId="77777777" w:rsidR="00120154" w:rsidRPr="00EF2158" w:rsidRDefault="00120154" w:rsidP="00120154">
      <w:pPr>
        <w:spacing w:before="120" w:line="240" w:lineRule="auto"/>
        <w:jc w:val="both"/>
        <w:rPr>
          <w:rFonts w:cstheme="minorHAnsi"/>
          <w:color w:val="000000" w:themeColor="text1"/>
        </w:rPr>
      </w:pPr>
      <w:r w:rsidRPr="00EF2158">
        <w:rPr>
          <w:rFonts w:cstheme="minorHAnsi"/>
          <w:color w:val="000000" w:themeColor="text1"/>
        </w:rPr>
        <w:t xml:space="preserve">FHI360/MADANI is </w:t>
      </w:r>
      <w:r w:rsidRPr="00EF2158">
        <w:rPr>
          <w:rFonts w:cstheme="minorHAnsi"/>
          <w:color w:val="000000" w:themeColor="text1"/>
          <w:lang w:val="id-ID"/>
        </w:rPr>
        <w:t>looking for a</w:t>
      </w:r>
      <w:r w:rsidRPr="00EF2158">
        <w:rPr>
          <w:rFonts w:cstheme="minorHAnsi"/>
          <w:color w:val="000000" w:themeColor="text1"/>
        </w:rPr>
        <w:t xml:space="preserve"> consultant with proven </w:t>
      </w:r>
      <w:r w:rsidRPr="00EF2158">
        <w:rPr>
          <w:rFonts w:cstheme="minorHAnsi"/>
          <w:color w:val="000000" w:themeColor="text1"/>
          <w:lang w:val="id-ID"/>
        </w:rPr>
        <w:t>academic</w:t>
      </w:r>
      <w:r w:rsidRPr="00EF2158">
        <w:rPr>
          <w:rFonts w:cstheme="minorHAnsi"/>
          <w:color w:val="000000" w:themeColor="text1"/>
        </w:rPr>
        <w:t xml:space="preserve"> and</w:t>
      </w:r>
      <w:r w:rsidRPr="00EF2158">
        <w:rPr>
          <w:rFonts w:cstheme="minorHAnsi"/>
          <w:color w:val="000000" w:themeColor="text1"/>
          <w:lang w:val="id-ID"/>
        </w:rPr>
        <w:t xml:space="preserve"> professional </w:t>
      </w:r>
      <w:r w:rsidRPr="00EF2158">
        <w:rPr>
          <w:rFonts w:cstheme="minorHAnsi"/>
          <w:color w:val="000000" w:themeColor="text1"/>
        </w:rPr>
        <w:t xml:space="preserve">track record </w:t>
      </w:r>
      <w:proofErr w:type="gramStart"/>
      <w:r w:rsidRPr="00EF2158">
        <w:rPr>
          <w:rFonts w:cstheme="minorHAnsi"/>
          <w:color w:val="000000" w:themeColor="text1"/>
        </w:rPr>
        <w:t>in:</w:t>
      </w:r>
      <w:proofErr w:type="gramEnd"/>
      <w:r w:rsidRPr="00EF2158">
        <w:rPr>
          <w:rFonts w:cstheme="minorHAnsi"/>
          <w:color w:val="000000" w:themeColor="text1"/>
        </w:rPr>
        <w:t xml:space="preserve"> organization development and capacity development Prospective consultants should demonstrate the following: </w:t>
      </w:r>
    </w:p>
    <w:p w14:paraId="0B658596" w14:textId="066024B8" w:rsidR="00120154" w:rsidRPr="00EF2158" w:rsidRDefault="00120154" w:rsidP="00120154">
      <w:pPr>
        <w:widowControl w:val="0"/>
        <w:numPr>
          <w:ilvl w:val="0"/>
          <w:numId w:val="5"/>
        </w:numPr>
        <w:spacing w:after="0" w:line="240" w:lineRule="auto"/>
        <w:contextualSpacing/>
        <w:rPr>
          <w:rFonts w:cstheme="minorHAnsi"/>
          <w:szCs w:val="24"/>
        </w:rPr>
      </w:pPr>
      <w:r w:rsidRPr="00EF2158">
        <w:rPr>
          <w:rFonts w:cstheme="minorHAnsi"/>
          <w:szCs w:val="24"/>
        </w:rPr>
        <w:t>At least 1</w:t>
      </w:r>
      <w:r w:rsidR="00A75E59">
        <w:rPr>
          <w:rFonts w:cstheme="minorHAnsi"/>
          <w:szCs w:val="24"/>
        </w:rPr>
        <w:t>0</w:t>
      </w:r>
      <w:r w:rsidRPr="00EF2158">
        <w:rPr>
          <w:rFonts w:cstheme="minorHAnsi"/>
          <w:szCs w:val="24"/>
        </w:rPr>
        <w:t xml:space="preserve"> years of relevant experiences in </w:t>
      </w:r>
      <w:r w:rsidR="005D7D6E">
        <w:rPr>
          <w:rFonts w:cstheme="minorHAnsi"/>
          <w:szCs w:val="24"/>
        </w:rPr>
        <w:t>promoting so</w:t>
      </w:r>
      <w:r w:rsidR="009F6613">
        <w:rPr>
          <w:rFonts w:cstheme="minorHAnsi"/>
          <w:szCs w:val="24"/>
        </w:rPr>
        <w:t>cial inclusion and tolerance, social cohesion</w:t>
      </w:r>
      <w:r w:rsidR="0093465C">
        <w:rPr>
          <w:rFonts w:cstheme="minorHAnsi"/>
          <w:szCs w:val="24"/>
        </w:rPr>
        <w:t xml:space="preserve"> </w:t>
      </w:r>
    </w:p>
    <w:p w14:paraId="185ED902" w14:textId="54781D5E" w:rsidR="00CD242D" w:rsidRDefault="00CD242D" w:rsidP="00CD242D">
      <w:pPr>
        <w:widowControl w:val="0"/>
        <w:numPr>
          <w:ilvl w:val="0"/>
          <w:numId w:val="5"/>
        </w:numPr>
        <w:spacing w:after="0" w:line="240" w:lineRule="auto"/>
        <w:contextualSpacing/>
        <w:rPr>
          <w:rFonts w:cstheme="minorHAnsi"/>
          <w:szCs w:val="24"/>
        </w:rPr>
      </w:pPr>
      <w:r>
        <w:rPr>
          <w:rFonts w:cstheme="minorHAnsi"/>
          <w:szCs w:val="24"/>
        </w:rPr>
        <w:t xml:space="preserve">Knowledge and experience on legal review, assessment of policies and regulations, including extensive knowledge on </w:t>
      </w:r>
      <w:r w:rsidR="005E1C4F">
        <w:rPr>
          <w:rFonts w:cstheme="minorHAnsi"/>
          <w:szCs w:val="24"/>
        </w:rPr>
        <w:t>promoting</w:t>
      </w:r>
      <w:r w:rsidR="002A48A8">
        <w:rPr>
          <w:rFonts w:cstheme="minorHAnsi"/>
          <w:szCs w:val="24"/>
        </w:rPr>
        <w:t xml:space="preserve"> social</w:t>
      </w:r>
      <w:r w:rsidR="005E1C4F">
        <w:rPr>
          <w:rFonts w:cstheme="minorHAnsi"/>
          <w:szCs w:val="24"/>
        </w:rPr>
        <w:t xml:space="preserve"> tolerance </w:t>
      </w:r>
    </w:p>
    <w:p w14:paraId="50C287F5" w14:textId="77777777" w:rsidR="00120154" w:rsidRPr="00EF2158" w:rsidRDefault="00120154" w:rsidP="00120154">
      <w:pPr>
        <w:widowControl w:val="0"/>
        <w:numPr>
          <w:ilvl w:val="0"/>
          <w:numId w:val="5"/>
        </w:numPr>
        <w:spacing w:after="0" w:line="240" w:lineRule="auto"/>
        <w:contextualSpacing/>
        <w:rPr>
          <w:rFonts w:cstheme="minorHAnsi"/>
          <w:szCs w:val="24"/>
        </w:rPr>
      </w:pPr>
      <w:r w:rsidRPr="00EF2158">
        <w:rPr>
          <w:rFonts w:cstheme="minorHAnsi"/>
          <w:szCs w:val="24"/>
        </w:rPr>
        <w:t xml:space="preserve">Experience in consultancy work on advocacy, lobbying with government </w:t>
      </w:r>
      <w:r>
        <w:rPr>
          <w:rFonts w:cstheme="minorHAnsi"/>
          <w:szCs w:val="24"/>
        </w:rPr>
        <w:t xml:space="preserve">and </w:t>
      </w:r>
      <w:r w:rsidRPr="00EF2158">
        <w:rPr>
          <w:rFonts w:cstheme="minorHAnsi"/>
          <w:szCs w:val="24"/>
        </w:rPr>
        <w:t xml:space="preserve">develop policy brief/recommendation </w:t>
      </w:r>
    </w:p>
    <w:p w14:paraId="51E6B23F" w14:textId="77777777" w:rsidR="00120154" w:rsidRPr="00EF2158" w:rsidRDefault="00120154" w:rsidP="00120154">
      <w:pPr>
        <w:widowControl w:val="0"/>
        <w:numPr>
          <w:ilvl w:val="0"/>
          <w:numId w:val="5"/>
        </w:numPr>
        <w:spacing w:after="0" w:line="240" w:lineRule="auto"/>
        <w:contextualSpacing/>
        <w:rPr>
          <w:rFonts w:cstheme="minorHAnsi"/>
          <w:szCs w:val="24"/>
        </w:rPr>
      </w:pPr>
      <w:r w:rsidRPr="00EF2158">
        <w:rPr>
          <w:rFonts w:cstheme="minorHAnsi"/>
          <w:szCs w:val="24"/>
        </w:rPr>
        <w:t>Experience working with National technical ministries and local Civil Society Organizations (CSOs).</w:t>
      </w:r>
    </w:p>
    <w:p w14:paraId="1A50F87A" w14:textId="77777777" w:rsidR="00120154" w:rsidRPr="00EF2158" w:rsidRDefault="00120154" w:rsidP="00120154">
      <w:pPr>
        <w:widowControl w:val="0"/>
        <w:numPr>
          <w:ilvl w:val="0"/>
          <w:numId w:val="5"/>
        </w:numPr>
        <w:spacing w:after="0" w:line="240" w:lineRule="auto"/>
        <w:contextualSpacing/>
        <w:rPr>
          <w:rFonts w:cstheme="minorHAnsi"/>
          <w:szCs w:val="24"/>
        </w:rPr>
      </w:pPr>
      <w:r w:rsidRPr="00EF2158">
        <w:rPr>
          <w:rFonts w:cstheme="minorHAnsi"/>
          <w:szCs w:val="24"/>
        </w:rPr>
        <w:t xml:space="preserve">Understand well with regulatory framework regarding CSO roles </w:t>
      </w:r>
    </w:p>
    <w:p w14:paraId="76296AC0" w14:textId="77777777" w:rsidR="00CD242D" w:rsidRDefault="00CD242D" w:rsidP="00CD242D">
      <w:pPr>
        <w:widowControl w:val="0"/>
        <w:spacing w:after="0" w:line="240" w:lineRule="auto"/>
        <w:ind w:left="720"/>
        <w:contextualSpacing/>
        <w:rPr>
          <w:rFonts w:cstheme="minorHAnsi"/>
          <w:szCs w:val="24"/>
        </w:rPr>
      </w:pPr>
    </w:p>
    <w:p w14:paraId="0698B373" w14:textId="77777777" w:rsidR="00120154" w:rsidRPr="00EF2158" w:rsidRDefault="00120154" w:rsidP="00120154">
      <w:pPr>
        <w:spacing w:before="120" w:after="120" w:line="240" w:lineRule="auto"/>
        <w:ind w:left="720"/>
        <w:contextualSpacing/>
        <w:jc w:val="both"/>
        <w:rPr>
          <w:rFonts w:cstheme="minorHAnsi"/>
          <w:color w:val="000000" w:themeColor="text1"/>
          <w:sz w:val="24"/>
          <w:szCs w:val="24"/>
        </w:rPr>
      </w:pPr>
    </w:p>
    <w:p w14:paraId="2B28FD5F" w14:textId="77777777" w:rsidR="00120154" w:rsidRPr="00EF2158" w:rsidRDefault="00120154" w:rsidP="00120154">
      <w:pPr>
        <w:jc w:val="both"/>
        <w:rPr>
          <w:rFonts w:cstheme="minorHAnsi"/>
          <w:b/>
          <w:bCs/>
          <w:sz w:val="24"/>
          <w:szCs w:val="24"/>
          <w:u w:val="single"/>
        </w:rPr>
      </w:pPr>
      <w:r w:rsidRPr="00EF2158">
        <w:rPr>
          <w:rFonts w:cstheme="minorHAnsi"/>
          <w:b/>
          <w:bCs/>
          <w:sz w:val="24"/>
          <w:szCs w:val="24"/>
          <w:u w:val="single"/>
        </w:rPr>
        <w:t>How to Apply:</w:t>
      </w:r>
    </w:p>
    <w:p w14:paraId="0EE7F578" w14:textId="1F31B552" w:rsidR="006A02C1" w:rsidRPr="006A02C1" w:rsidRDefault="00120154" w:rsidP="00120154">
      <w:pPr>
        <w:jc w:val="both"/>
        <w:rPr>
          <w:rFonts w:cstheme="minorHAnsi"/>
        </w:rPr>
      </w:pPr>
      <w:r w:rsidRPr="00EF2158">
        <w:rPr>
          <w:rFonts w:cstheme="minorHAnsi"/>
          <w:lang w:val="en-ID"/>
        </w:rPr>
        <w:t xml:space="preserve">Applications should include </w:t>
      </w:r>
      <w:r w:rsidR="00C16903">
        <w:rPr>
          <w:rFonts w:cstheme="minorHAnsi"/>
          <w:lang w:val="en-ID"/>
        </w:rPr>
        <w:t xml:space="preserve">a </w:t>
      </w:r>
      <w:r w:rsidR="00C16903" w:rsidRPr="00EF2158">
        <w:rPr>
          <w:rFonts w:cstheme="minorHAnsi"/>
          <w:lang w:val="en-ID"/>
        </w:rPr>
        <w:t xml:space="preserve">detailed CV </w:t>
      </w:r>
      <w:r w:rsidR="00C16903">
        <w:rPr>
          <w:rFonts w:cstheme="minorHAnsi"/>
          <w:lang w:val="en-ID"/>
        </w:rPr>
        <w:t xml:space="preserve">with </w:t>
      </w:r>
      <w:r w:rsidRPr="00EF2158">
        <w:rPr>
          <w:rFonts w:cstheme="minorHAnsi"/>
          <w:lang w:val="en-ID"/>
        </w:rPr>
        <w:t>past experience working in local governance</w:t>
      </w:r>
      <w:r w:rsidR="00C16903">
        <w:rPr>
          <w:rFonts w:cstheme="minorHAnsi"/>
          <w:lang w:val="en-ID"/>
        </w:rPr>
        <w:t xml:space="preserve">, </w:t>
      </w:r>
      <w:r w:rsidRPr="00EF2158">
        <w:rPr>
          <w:rFonts w:cstheme="minorHAnsi"/>
          <w:lang w:val="en-ID"/>
        </w:rPr>
        <w:t>civil society</w:t>
      </w:r>
      <w:r w:rsidR="00F3763F">
        <w:rPr>
          <w:rFonts w:cstheme="minorHAnsi"/>
          <w:lang w:val="en-ID"/>
        </w:rPr>
        <w:t xml:space="preserve">, </w:t>
      </w:r>
      <w:r w:rsidR="00C16903">
        <w:rPr>
          <w:rFonts w:cstheme="minorHAnsi"/>
          <w:lang w:val="en-ID"/>
        </w:rPr>
        <w:t xml:space="preserve">social inclusion </w:t>
      </w:r>
      <w:r w:rsidR="00F3763F">
        <w:rPr>
          <w:rFonts w:cstheme="minorHAnsi"/>
          <w:lang w:val="en-ID"/>
        </w:rPr>
        <w:t>and policy recommendations , a</w:t>
      </w:r>
      <w:r w:rsidRPr="00EF2158">
        <w:rPr>
          <w:rFonts w:cstheme="minorHAnsi"/>
          <w:lang w:val="en-ID"/>
        </w:rPr>
        <w:t xml:space="preserve">nd </w:t>
      </w:r>
      <w:r w:rsidRPr="00EF2158">
        <w:rPr>
          <w:rFonts w:cstheme="minorHAnsi"/>
          <w:color w:val="111111"/>
          <w:lang w:val="en-ID"/>
        </w:rPr>
        <w:t>proposed daily rate</w:t>
      </w:r>
      <w:r w:rsidRPr="00EF2158">
        <w:rPr>
          <w:rFonts w:cstheme="minorHAnsi"/>
          <w:lang w:val="en-ID"/>
        </w:rPr>
        <w:t xml:space="preserve">, </w:t>
      </w:r>
      <w:r w:rsidR="00F3763F">
        <w:rPr>
          <w:rFonts w:cstheme="minorHAnsi"/>
          <w:lang w:val="en-ID"/>
        </w:rPr>
        <w:t xml:space="preserve">and </w:t>
      </w:r>
      <w:r w:rsidRPr="00EF2158">
        <w:rPr>
          <w:rFonts w:cstheme="minorHAnsi"/>
          <w:lang w:val="en-ID"/>
        </w:rPr>
        <w:t>should be marked “</w:t>
      </w:r>
      <w:r w:rsidR="00F3763F">
        <w:rPr>
          <w:rFonts w:cstheme="minorHAnsi"/>
          <w:lang w:val="en-ID"/>
        </w:rPr>
        <w:t>MADANI Social Diversity Policy Recommendation</w:t>
      </w:r>
      <w:r w:rsidRPr="00EF2158">
        <w:rPr>
          <w:rFonts w:cstheme="minorHAnsi"/>
          <w:lang w:val="en-ID"/>
        </w:rPr>
        <w:t xml:space="preserve">” and be submitted via e-mail to </w:t>
      </w:r>
      <w:hyperlink r:id="rId10" w:history="1">
        <w:r w:rsidRPr="00EF2158">
          <w:rPr>
            <w:rFonts w:cstheme="minorHAnsi"/>
            <w:color w:val="0000FF"/>
            <w:u w:val="single"/>
          </w:rPr>
          <w:t>Procurement-Madani@fhi360.org</w:t>
        </w:r>
      </w:hyperlink>
      <w:r w:rsidRPr="00EF2158">
        <w:rPr>
          <w:rFonts w:cstheme="minorHAnsi"/>
        </w:rPr>
        <w:t xml:space="preserve"> by </w:t>
      </w:r>
      <w:r w:rsidR="00FD6DE2" w:rsidRPr="009471D9">
        <w:rPr>
          <w:rFonts w:cstheme="minorHAnsi"/>
          <w:b/>
          <w:bCs/>
        </w:rPr>
        <w:t>6</w:t>
      </w:r>
      <w:r w:rsidR="00B26852" w:rsidRPr="009471D9">
        <w:rPr>
          <w:rFonts w:cstheme="minorHAnsi"/>
          <w:b/>
          <w:bCs/>
        </w:rPr>
        <w:t xml:space="preserve"> February</w:t>
      </w:r>
      <w:r w:rsidRPr="00B26852">
        <w:rPr>
          <w:rFonts w:cstheme="minorHAnsi"/>
          <w:b/>
          <w:bCs/>
        </w:rPr>
        <w:t>,</w:t>
      </w:r>
      <w:r w:rsidRPr="00EF2158">
        <w:rPr>
          <w:rFonts w:cstheme="minorHAnsi"/>
          <w:b/>
          <w:bCs/>
        </w:rPr>
        <w:t xml:space="preserve"> 202</w:t>
      </w:r>
      <w:r>
        <w:rPr>
          <w:rFonts w:cstheme="minorHAnsi"/>
          <w:b/>
          <w:bCs/>
        </w:rPr>
        <w:t>3</w:t>
      </w:r>
      <w:r w:rsidRPr="00EF2158">
        <w:rPr>
          <w:rFonts w:cstheme="minorHAnsi"/>
          <w:b/>
          <w:bCs/>
        </w:rPr>
        <w:t xml:space="preserve"> at 17:00 WIB (Jakarta time)</w:t>
      </w:r>
      <w:r w:rsidRPr="00EF2158">
        <w:rPr>
          <w:rFonts w:cstheme="minorHAnsi"/>
        </w:rPr>
        <w:t xml:space="preserve">. Award will be made to the offer which is determined to be best value and responsive to the above terms. </w:t>
      </w:r>
      <w:r w:rsidR="006A02C1">
        <w:rPr>
          <w:rFonts w:cstheme="minorHAnsi"/>
        </w:rPr>
        <w:t xml:space="preserve">Starting date is </w:t>
      </w:r>
      <w:r w:rsidR="009471D9" w:rsidRPr="009471D9">
        <w:rPr>
          <w:rFonts w:cstheme="minorHAnsi"/>
          <w:b/>
          <w:bCs/>
        </w:rPr>
        <w:t>1 March 2023</w:t>
      </w:r>
      <w:r w:rsidR="003B6AF8">
        <w:rPr>
          <w:rFonts w:cstheme="minorHAnsi"/>
          <w:b/>
          <w:bCs/>
        </w:rPr>
        <w:t xml:space="preserve">. </w:t>
      </w:r>
    </w:p>
    <w:p w14:paraId="626C2E85" w14:textId="77777777" w:rsidR="00120154" w:rsidRPr="00EF2158" w:rsidRDefault="00120154" w:rsidP="00120154">
      <w:pPr>
        <w:rPr>
          <w:rFonts w:cstheme="minorHAnsi"/>
          <w:b/>
          <w:bCs/>
        </w:rPr>
      </w:pPr>
      <w:r w:rsidRPr="00EF2158">
        <w:rPr>
          <w:rFonts w:cstheme="minorHAnsi"/>
        </w:rPr>
        <w:t>Short-listed candidates may be invited via mail/phone for interview.</w:t>
      </w:r>
    </w:p>
    <w:p w14:paraId="05A9B55B" w14:textId="77777777" w:rsidR="00CB4E33" w:rsidRPr="00882B37" w:rsidRDefault="00CB4E33">
      <w:pPr>
        <w:rPr>
          <w:rFonts w:ascii="Calibri" w:hAnsi="Calibri" w:cs="Calibri"/>
        </w:rPr>
      </w:pPr>
    </w:p>
    <w:sectPr w:rsidR="00CB4E33" w:rsidRPr="00882B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A666" w14:textId="77777777" w:rsidR="001A016F" w:rsidRDefault="001A016F" w:rsidP="00CB4E33">
      <w:pPr>
        <w:spacing w:after="0" w:line="240" w:lineRule="auto"/>
      </w:pPr>
      <w:r>
        <w:separator/>
      </w:r>
    </w:p>
  </w:endnote>
  <w:endnote w:type="continuationSeparator" w:id="0">
    <w:p w14:paraId="35D07FDF" w14:textId="77777777" w:rsidR="001A016F" w:rsidRDefault="001A016F" w:rsidP="00CB4E33">
      <w:pPr>
        <w:spacing w:after="0" w:line="240" w:lineRule="auto"/>
      </w:pPr>
      <w:r>
        <w:continuationSeparator/>
      </w:r>
    </w:p>
  </w:endnote>
  <w:endnote w:type="continuationNotice" w:id="1">
    <w:p w14:paraId="0C757700" w14:textId="77777777" w:rsidR="001D6EC6" w:rsidRDefault="001D6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DF16" w14:textId="77777777" w:rsidR="001A016F" w:rsidRDefault="001A016F" w:rsidP="00CB4E33">
      <w:pPr>
        <w:spacing w:after="0" w:line="240" w:lineRule="auto"/>
      </w:pPr>
      <w:r>
        <w:separator/>
      </w:r>
    </w:p>
  </w:footnote>
  <w:footnote w:type="continuationSeparator" w:id="0">
    <w:p w14:paraId="1712F233" w14:textId="77777777" w:rsidR="001A016F" w:rsidRDefault="001A016F" w:rsidP="00CB4E33">
      <w:pPr>
        <w:spacing w:after="0" w:line="240" w:lineRule="auto"/>
      </w:pPr>
      <w:r>
        <w:continuationSeparator/>
      </w:r>
    </w:p>
  </w:footnote>
  <w:footnote w:type="continuationNotice" w:id="1">
    <w:p w14:paraId="47973BC1" w14:textId="77777777" w:rsidR="001D6EC6" w:rsidRDefault="001D6E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1F7C"/>
    <w:multiLevelType w:val="hybridMultilevel"/>
    <w:tmpl w:val="0C98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75381"/>
    <w:multiLevelType w:val="hybridMultilevel"/>
    <w:tmpl w:val="806C3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D7D07"/>
    <w:multiLevelType w:val="hybridMultilevel"/>
    <w:tmpl w:val="806C32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E504B3B"/>
    <w:multiLevelType w:val="hybridMultilevel"/>
    <w:tmpl w:val="806C32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8F40104"/>
    <w:multiLevelType w:val="hybridMultilevel"/>
    <w:tmpl w:val="3600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831328">
    <w:abstractNumId w:val="1"/>
  </w:num>
  <w:num w:numId="2" w16cid:durableId="4328373">
    <w:abstractNumId w:val="4"/>
  </w:num>
  <w:num w:numId="3" w16cid:durableId="1849756500">
    <w:abstractNumId w:val="3"/>
  </w:num>
  <w:num w:numId="4" w16cid:durableId="1066992696">
    <w:abstractNumId w:val="2"/>
  </w:num>
  <w:num w:numId="5" w16cid:durableId="56611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33"/>
    <w:rsid w:val="00000DE7"/>
    <w:rsid w:val="00013039"/>
    <w:rsid w:val="0001466C"/>
    <w:rsid w:val="0002062F"/>
    <w:rsid w:val="00057FAF"/>
    <w:rsid w:val="00062A1A"/>
    <w:rsid w:val="00063A8E"/>
    <w:rsid w:val="00065788"/>
    <w:rsid w:val="00066CC6"/>
    <w:rsid w:val="000774B2"/>
    <w:rsid w:val="000A3190"/>
    <w:rsid w:val="000A6FC7"/>
    <w:rsid w:val="000C50D0"/>
    <w:rsid w:val="000D71FB"/>
    <w:rsid w:val="000E4A44"/>
    <w:rsid w:val="000F0E49"/>
    <w:rsid w:val="0010378F"/>
    <w:rsid w:val="00120154"/>
    <w:rsid w:val="00121FDB"/>
    <w:rsid w:val="0012721F"/>
    <w:rsid w:val="0013465C"/>
    <w:rsid w:val="00144BA9"/>
    <w:rsid w:val="001479F4"/>
    <w:rsid w:val="00152BDB"/>
    <w:rsid w:val="0015424B"/>
    <w:rsid w:val="0015507E"/>
    <w:rsid w:val="001739F5"/>
    <w:rsid w:val="001763FE"/>
    <w:rsid w:val="00177C8D"/>
    <w:rsid w:val="001977AE"/>
    <w:rsid w:val="001A016F"/>
    <w:rsid w:val="001A187D"/>
    <w:rsid w:val="001A3CC9"/>
    <w:rsid w:val="001A4D7C"/>
    <w:rsid w:val="001D6EC6"/>
    <w:rsid w:val="001F26CD"/>
    <w:rsid w:val="001F48C5"/>
    <w:rsid w:val="001F668D"/>
    <w:rsid w:val="00206D86"/>
    <w:rsid w:val="0024301E"/>
    <w:rsid w:val="00256198"/>
    <w:rsid w:val="0026284D"/>
    <w:rsid w:val="002670C0"/>
    <w:rsid w:val="002765D5"/>
    <w:rsid w:val="0027732A"/>
    <w:rsid w:val="0028674A"/>
    <w:rsid w:val="002A48A8"/>
    <w:rsid w:val="002B0725"/>
    <w:rsid w:val="002C588E"/>
    <w:rsid w:val="002E31C2"/>
    <w:rsid w:val="002F2181"/>
    <w:rsid w:val="002F29AC"/>
    <w:rsid w:val="002F6BF7"/>
    <w:rsid w:val="00301FAA"/>
    <w:rsid w:val="00331192"/>
    <w:rsid w:val="00340B58"/>
    <w:rsid w:val="00342E40"/>
    <w:rsid w:val="00354CCE"/>
    <w:rsid w:val="003B1D11"/>
    <w:rsid w:val="003B359D"/>
    <w:rsid w:val="003B4FB1"/>
    <w:rsid w:val="003B6AF8"/>
    <w:rsid w:val="003E3040"/>
    <w:rsid w:val="003E7A7C"/>
    <w:rsid w:val="003F1EC0"/>
    <w:rsid w:val="003F6CAD"/>
    <w:rsid w:val="004001D9"/>
    <w:rsid w:val="004008D5"/>
    <w:rsid w:val="00410A84"/>
    <w:rsid w:val="004129E0"/>
    <w:rsid w:val="004405D5"/>
    <w:rsid w:val="00440667"/>
    <w:rsid w:val="00454264"/>
    <w:rsid w:val="004601C8"/>
    <w:rsid w:val="004660FD"/>
    <w:rsid w:val="00490C8B"/>
    <w:rsid w:val="00492757"/>
    <w:rsid w:val="00496E5A"/>
    <w:rsid w:val="004A3B4A"/>
    <w:rsid w:val="004A4AC5"/>
    <w:rsid w:val="004A4C0F"/>
    <w:rsid w:val="004C58E4"/>
    <w:rsid w:val="004E1801"/>
    <w:rsid w:val="004E26E4"/>
    <w:rsid w:val="004F45EE"/>
    <w:rsid w:val="00501FAA"/>
    <w:rsid w:val="00503FD9"/>
    <w:rsid w:val="00506FE6"/>
    <w:rsid w:val="00516A3E"/>
    <w:rsid w:val="005236A6"/>
    <w:rsid w:val="005264A5"/>
    <w:rsid w:val="00526772"/>
    <w:rsid w:val="00536B8B"/>
    <w:rsid w:val="00541A55"/>
    <w:rsid w:val="00543029"/>
    <w:rsid w:val="00553549"/>
    <w:rsid w:val="005548D3"/>
    <w:rsid w:val="00561697"/>
    <w:rsid w:val="00565B33"/>
    <w:rsid w:val="00566A55"/>
    <w:rsid w:val="0058205F"/>
    <w:rsid w:val="00583C47"/>
    <w:rsid w:val="005919B0"/>
    <w:rsid w:val="005A1630"/>
    <w:rsid w:val="005A1745"/>
    <w:rsid w:val="005A65F4"/>
    <w:rsid w:val="005A7F5D"/>
    <w:rsid w:val="005C17A3"/>
    <w:rsid w:val="005C6813"/>
    <w:rsid w:val="005D12DA"/>
    <w:rsid w:val="005D7D6E"/>
    <w:rsid w:val="005E1C4F"/>
    <w:rsid w:val="005F262E"/>
    <w:rsid w:val="005F5BAD"/>
    <w:rsid w:val="00603C66"/>
    <w:rsid w:val="006167D5"/>
    <w:rsid w:val="00620633"/>
    <w:rsid w:val="00637090"/>
    <w:rsid w:val="006435E4"/>
    <w:rsid w:val="006628F3"/>
    <w:rsid w:val="0066523B"/>
    <w:rsid w:val="00667CB5"/>
    <w:rsid w:val="00686815"/>
    <w:rsid w:val="00692ED6"/>
    <w:rsid w:val="006979F4"/>
    <w:rsid w:val="006A02C1"/>
    <w:rsid w:val="006B6A7E"/>
    <w:rsid w:val="006D0A46"/>
    <w:rsid w:val="006D5259"/>
    <w:rsid w:val="006E484A"/>
    <w:rsid w:val="006E54C7"/>
    <w:rsid w:val="006E748B"/>
    <w:rsid w:val="00702117"/>
    <w:rsid w:val="0070363A"/>
    <w:rsid w:val="007055C0"/>
    <w:rsid w:val="00730F6C"/>
    <w:rsid w:val="00756209"/>
    <w:rsid w:val="00776E52"/>
    <w:rsid w:val="007858DE"/>
    <w:rsid w:val="00796621"/>
    <w:rsid w:val="007B4C3C"/>
    <w:rsid w:val="007D01DE"/>
    <w:rsid w:val="007D6707"/>
    <w:rsid w:val="008034E1"/>
    <w:rsid w:val="008176A2"/>
    <w:rsid w:val="00820867"/>
    <w:rsid w:val="00827A6F"/>
    <w:rsid w:val="008332C6"/>
    <w:rsid w:val="00835A7A"/>
    <w:rsid w:val="00836EDB"/>
    <w:rsid w:val="0084794B"/>
    <w:rsid w:val="00854923"/>
    <w:rsid w:val="008552DF"/>
    <w:rsid w:val="00863F31"/>
    <w:rsid w:val="00880A6B"/>
    <w:rsid w:val="00882B37"/>
    <w:rsid w:val="008925EB"/>
    <w:rsid w:val="008A7DB3"/>
    <w:rsid w:val="008B41AB"/>
    <w:rsid w:val="008C4087"/>
    <w:rsid w:val="008D10A5"/>
    <w:rsid w:val="008D6091"/>
    <w:rsid w:val="008F4198"/>
    <w:rsid w:val="00914836"/>
    <w:rsid w:val="00914C23"/>
    <w:rsid w:val="00921418"/>
    <w:rsid w:val="0093465C"/>
    <w:rsid w:val="009471D9"/>
    <w:rsid w:val="0097595A"/>
    <w:rsid w:val="00976B85"/>
    <w:rsid w:val="00977D32"/>
    <w:rsid w:val="00982E90"/>
    <w:rsid w:val="00982EFF"/>
    <w:rsid w:val="00991912"/>
    <w:rsid w:val="009A0516"/>
    <w:rsid w:val="009B04BC"/>
    <w:rsid w:val="009B5718"/>
    <w:rsid w:val="009C6CFD"/>
    <w:rsid w:val="009D0571"/>
    <w:rsid w:val="009E1648"/>
    <w:rsid w:val="009E5F48"/>
    <w:rsid w:val="009F5232"/>
    <w:rsid w:val="009F5DC6"/>
    <w:rsid w:val="009F6613"/>
    <w:rsid w:val="00A007A3"/>
    <w:rsid w:val="00A07952"/>
    <w:rsid w:val="00A26E2C"/>
    <w:rsid w:val="00A3434B"/>
    <w:rsid w:val="00A44F8D"/>
    <w:rsid w:val="00A45230"/>
    <w:rsid w:val="00A45D36"/>
    <w:rsid w:val="00A539F5"/>
    <w:rsid w:val="00A64331"/>
    <w:rsid w:val="00A66C30"/>
    <w:rsid w:val="00A72E6F"/>
    <w:rsid w:val="00A75E59"/>
    <w:rsid w:val="00A93BD5"/>
    <w:rsid w:val="00A95450"/>
    <w:rsid w:val="00AB7EF6"/>
    <w:rsid w:val="00AC209F"/>
    <w:rsid w:val="00AC49A7"/>
    <w:rsid w:val="00AC4BA8"/>
    <w:rsid w:val="00AD685C"/>
    <w:rsid w:val="00AE55BE"/>
    <w:rsid w:val="00B03426"/>
    <w:rsid w:val="00B04367"/>
    <w:rsid w:val="00B075DF"/>
    <w:rsid w:val="00B210B1"/>
    <w:rsid w:val="00B24A19"/>
    <w:rsid w:val="00B26852"/>
    <w:rsid w:val="00B37B54"/>
    <w:rsid w:val="00B41A30"/>
    <w:rsid w:val="00B45DC9"/>
    <w:rsid w:val="00B47285"/>
    <w:rsid w:val="00B57184"/>
    <w:rsid w:val="00B73E7F"/>
    <w:rsid w:val="00B7784A"/>
    <w:rsid w:val="00B80CB6"/>
    <w:rsid w:val="00B83EE5"/>
    <w:rsid w:val="00B92761"/>
    <w:rsid w:val="00B94F60"/>
    <w:rsid w:val="00B95078"/>
    <w:rsid w:val="00BA005E"/>
    <w:rsid w:val="00BA6CFB"/>
    <w:rsid w:val="00BF04B9"/>
    <w:rsid w:val="00C138EB"/>
    <w:rsid w:val="00C150C5"/>
    <w:rsid w:val="00C16903"/>
    <w:rsid w:val="00C17D10"/>
    <w:rsid w:val="00C33FCC"/>
    <w:rsid w:val="00C346FE"/>
    <w:rsid w:val="00C36CAA"/>
    <w:rsid w:val="00C430C6"/>
    <w:rsid w:val="00C45100"/>
    <w:rsid w:val="00C5212A"/>
    <w:rsid w:val="00C70A77"/>
    <w:rsid w:val="00CA1FD2"/>
    <w:rsid w:val="00CA4E61"/>
    <w:rsid w:val="00CB4E33"/>
    <w:rsid w:val="00CB7624"/>
    <w:rsid w:val="00CC2795"/>
    <w:rsid w:val="00CC3CDA"/>
    <w:rsid w:val="00CC562D"/>
    <w:rsid w:val="00CD242D"/>
    <w:rsid w:val="00CD48B9"/>
    <w:rsid w:val="00D05AFA"/>
    <w:rsid w:val="00D175F9"/>
    <w:rsid w:val="00D41C26"/>
    <w:rsid w:val="00D43427"/>
    <w:rsid w:val="00D77A94"/>
    <w:rsid w:val="00DA7DDD"/>
    <w:rsid w:val="00DB1266"/>
    <w:rsid w:val="00DC0B48"/>
    <w:rsid w:val="00DC415B"/>
    <w:rsid w:val="00DC7118"/>
    <w:rsid w:val="00DE15C2"/>
    <w:rsid w:val="00DF1071"/>
    <w:rsid w:val="00E014BE"/>
    <w:rsid w:val="00E04A6C"/>
    <w:rsid w:val="00E05D08"/>
    <w:rsid w:val="00E11BC2"/>
    <w:rsid w:val="00E134E5"/>
    <w:rsid w:val="00E220E1"/>
    <w:rsid w:val="00E658F1"/>
    <w:rsid w:val="00E7024F"/>
    <w:rsid w:val="00E7124F"/>
    <w:rsid w:val="00E77B48"/>
    <w:rsid w:val="00E8446E"/>
    <w:rsid w:val="00E93D67"/>
    <w:rsid w:val="00E952A3"/>
    <w:rsid w:val="00EA010F"/>
    <w:rsid w:val="00ED1D11"/>
    <w:rsid w:val="00EF0AA9"/>
    <w:rsid w:val="00F070C3"/>
    <w:rsid w:val="00F11504"/>
    <w:rsid w:val="00F178C6"/>
    <w:rsid w:val="00F25BC1"/>
    <w:rsid w:val="00F279ED"/>
    <w:rsid w:val="00F32420"/>
    <w:rsid w:val="00F32FA5"/>
    <w:rsid w:val="00F33FCA"/>
    <w:rsid w:val="00F355AD"/>
    <w:rsid w:val="00F3763F"/>
    <w:rsid w:val="00F4351F"/>
    <w:rsid w:val="00F47860"/>
    <w:rsid w:val="00F629FD"/>
    <w:rsid w:val="00F67B64"/>
    <w:rsid w:val="00F86CD7"/>
    <w:rsid w:val="00FA24FC"/>
    <w:rsid w:val="00FA7F16"/>
    <w:rsid w:val="00FB0E3E"/>
    <w:rsid w:val="00FD2041"/>
    <w:rsid w:val="00FD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99EB"/>
  <w15:chartTrackingRefBased/>
  <w15:docId w15:val="{A4429DC5-57B1-4339-BC22-C6E587E3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Ha,1st level - Bullet List Paragraph,Lettre d'introduction,Paragrafo elenco,Resume Title,Bullet list,C-Change,Ha1,Bullets,List Paragraph 1,Bullet,Dot pt,F5 List Paragraph,Indicator Text"/>
    <w:basedOn w:val="Normal"/>
    <w:link w:val="ListParagraphChar"/>
    <w:uiPriority w:val="34"/>
    <w:qFormat/>
    <w:rsid w:val="00CB4E33"/>
    <w:pPr>
      <w:widowControl w:val="0"/>
      <w:spacing w:after="0" w:line="240" w:lineRule="auto"/>
      <w:ind w:left="720"/>
      <w:contextualSpacing/>
    </w:pPr>
    <w:rPr>
      <w:rFonts w:ascii="Univers" w:eastAsia="Times New Roman" w:hAnsi="Univers" w:cs="Times New Roman"/>
      <w:snapToGrid w:val="0"/>
      <w:sz w:val="24"/>
      <w:szCs w:val="20"/>
    </w:rPr>
  </w:style>
  <w:style w:type="character" w:customStyle="1" w:styleId="ListParagraphChar">
    <w:name w:val="List Paragraph Char"/>
    <w:aliases w:val="MCHIP_list paragraph Char,List Paragraph1 Char,Recommendation Char,Ha Char,1st level - Bullet List Paragraph Char,Lettre d'introduction Char,Paragrafo elenco Char,Resume Title Char,Bullet list Char,C-Change Char,Ha1 Char,Bullets Char"/>
    <w:link w:val="ListParagraph"/>
    <w:uiPriority w:val="34"/>
    <w:qFormat/>
    <w:locked/>
    <w:rsid w:val="00CB4E33"/>
    <w:rPr>
      <w:rFonts w:ascii="Univers" w:eastAsia="Times New Roman" w:hAnsi="Univers" w:cs="Times New Roman"/>
      <w:snapToGrid w:val="0"/>
      <w:sz w:val="24"/>
      <w:szCs w:val="20"/>
    </w:rPr>
  </w:style>
  <w:style w:type="character" w:customStyle="1" w:styleId="normaltextrun">
    <w:name w:val="normaltextrun"/>
    <w:basedOn w:val="DefaultParagraphFont"/>
    <w:rsid w:val="00CB4E33"/>
  </w:style>
  <w:style w:type="table" w:customStyle="1" w:styleId="TableGrid1">
    <w:name w:val="Table Grid1"/>
    <w:basedOn w:val="TableNormal"/>
    <w:next w:val="TableGrid"/>
    <w:rsid w:val="00CB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ADB,Char Char Char,ALTS FOOTNOTE,fn,FOOTNOTES,single space,ft,Geneva 9,Font: Geneva 9,Boston 10,f,footnote text,Footnote Text Char Char,Footnote Text Char1,Footnote Text Char1 Char,Car Char, Char Char, Car Char"/>
    <w:basedOn w:val="Normal"/>
    <w:link w:val="FootnoteTextChar"/>
    <w:uiPriority w:val="99"/>
    <w:rsid w:val="00CB4E33"/>
    <w:pPr>
      <w:spacing w:after="0" w:line="240" w:lineRule="auto"/>
    </w:pPr>
    <w:rPr>
      <w:rFonts w:ascii="Calibri" w:eastAsia="Times New Roman" w:hAnsi="Calibri" w:cs="Times New Roman"/>
      <w:sz w:val="20"/>
      <w:szCs w:val="20"/>
    </w:rPr>
  </w:style>
  <w:style w:type="character" w:customStyle="1" w:styleId="FootnoteTextChar">
    <w:name w:val="Footnote Text Char"/>
    <w:aliases w:val="Char Char Char1,ADB Char,Char Char Char Char,ALTS FOOTNOTE Char,fn Char,FOOTNOTES Char,single space Char,ft Char,Geneva 9 Char,Font: Geneva 9 Char,Boston 10 Char,f Char,footnote text Char,Footnote Text Char Char Char,Car Char Char"/>
    <w:basedOn w:val="DefaultParagraphFont"/>
    <w:link w:val="FootnoteText"/>
    <w:uiPriority w:val="99"/>
    <w:rsid w:val="00CB4E33"/>
    <w:rPr>
      <w:rFonts w:ascii="Calibri" w:eastAsia="Times New Roman" w:hAnsi="Calibri" w:cs="Times New Roman"/>
      <w:sz w:val="20"/>
      <w:szCs w:val="20"/>
    </w:rPr>
  </w:style>
  <w:style w:type="character" w:styleId="FootnoteReference">
    <w:name w:val="footnote reference"/>
    <w:aliases w:val="ftref,16 Point,Superscript 6 Point,BVI fnr Char Char Char,BVI fnr Car Car Char Char Char,BVI fnr Car Char Char Char,BVI fnr Car Car Car Car Char Char Char1 Char,BVI fnr Char Char Char Char,Footnote Reference Number,fr"/>
    <w:basedOn w:val="DefaultParagraphFont"/>
    <w:uiPriority w:val="99"/>
    <w:qFormat/>
    <w:rsid w:val="00CB4E33"/>
    <w:rPr>
      <w:vertAlign w:val="superscript"/>
    </w:rPr>
  </w:style>
  <w:style w:type="character" w:styleId="CommentReference">
    <w:name w:val="annotation reference"/>
    <w:basedOn w:val="DefaultParagraphFont"/>
    <w:uiPriority w:val="99"/>
    <w:semiHidden/>
    <w:unhideWhenUsed/>
    <w:rsid w:val="00A3434B"/>
    <w:rPr>
      <w:sz w:val="16"/>
      <w:szCs w:val="16"/>
    </w:rPr>
  </w:style>
  <w:style w:type="paragraph" w:styleId="CommentText">
    <w:name w:val="annotation text"/>
    <w:basedOn w:val="Normal"/>
    <w:link w:val="CommentTextChar"/>
    <w:uiPriority w:val="99"/>
    <w:unhideWhenUsed/>
    <w:rsid w:val="00A3434B"/>
    <w:pPr>
      <w:spacing w:line="240" w:lineRule="auto"/>
    </w:pPr>
    <w:rPr>
      <w:sz w:val="20"/>
      <w:szCs w:val="20"/>
    </w:rPr>
  </w:style>
  <w:style w:type="character" w:customStyle="1" w:styleId="CommentTextChar">
    <w:name w:val="Comment Text Char"/>
    <w:basedOn w:val="DefaultParagraphFont"/>
    <w:link w:val="CommentText"/>
    <w:uiPriority w:val="99"/>
    <w:rsid w:val="00A3434B"/>
    <w:rPr>
      <w:sz w:val="20"/>
      <w:szCs w:val="20"/>
    </w:rPr>
  </w:style>
  <w:style w:type="paragraph" w:styleId="CommentSubject">
    <w:name w:val="annotation subject"/>
    <w:basedOn w:val="CommentText"/>
    <w:next w:val="CommentText"/>
    <w:link w:val="CommentSubjectChar"/>
    <w:uiPriority w:val="99"/>
    <w:semiHidden/>
    <w:unhideWhenUsed/>
    <w:rsid w:val="00A3434B"/>
    <w:rPr>
      <w:b/>
      <w:bCs/>
    </w:rPr>
  </w:style>
  <w:style w:type="character" w:customStyle="1" w:styleId="CommentSubjectChar">
    <w:name w:val="Comment Subject Char"/>
    <w:basedOn w:val="CommentTextChar"/>
    <w:link w:val="CommentSubject"/>
    <w:uiPriority w:val="99"/>
    <w:semiHidden/>
    <w:rsid w:val="00A3434B"/>
    <w:rPr>
      <w:b/>
      <w:bCs/>
      <w:sz w:val="20"/>
      <w:szCs w:val="20"/>
    </w:rPr>
  </w:style>
  <w:style w:type="paragraph" w:styleId="Revision">
    <w:name w:val="Revision"/>
    <w:hidden/>
    <w:uiPriority w:val="99"/>
    <w:semiHidden/>
    <w:rsid w:val="008552DF"/>
    <w:pPr>
      <w:spacing w:after="0" w:line="240" w:lineRule="auto"/>
    </w:pPr>
  </w:style>
  <w:style w:type="paragraph" w:styleId="Header">
    <w:name w:val="header"/>
    <w:basedOn w:val="Normal"/>
    <w:link w:val="HeaderChar"/>
    <w:uiPriority w:val="99"/>
    <w:semiHidden/>
    <w:unhideWhenUsed/>
    <w:rsid w:val="001D6E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EC6"/>
  </w:style>
  <w:style w:type="paragraph" w:styleId="Footer">
    <w:name w:val="footer"/>
    <w:basedOn w:val="Normal"/>
    <w:link w:val="FooterChar"/>
    <w:uiPriority w:val="99"/>
    <w:semiHidden/>
    <w:unhideWhenUsed/>
    <w:rsid w:val="001D6E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curement-Madani@fhi360.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CB38EB43C134BA97E690EFACF5771" ma:contentTypeVersion="16" ma:contentTypeDescription="Create a new document." ma:contentTypeScope="" ma:versionID="4a399bfd63122c5091fe088fbe87d466">
  <xsd:schema xmlns:xsd="http://www.w3.org/2001/XMLSchema" xmlns:xs="http://www.w3.org/2001/XMLSchema" xmlns:p="http://schemas.microsoft.com/office/2006/metadata/properties" xmlns:ns2="c97a0b4f-27fe-4a7a-942a-77011d57e7b2" xmlns:ns3="ee512004-ba59-4759-8805-f6da2c31d44c" targetNamespace="http://schemas.microsoft.com/office/2006/metadata/properties" ma:root="true" ma:fieldsID="429f693bfbd5498f0de0c88115c0085c" ns2:_="" ns3:_="">
    <xsd:import namespace="c97a0b4f-27fe-4a7a-942a-77011d57e7b2"/>
    <xsd:import namespace="ee512004-ba59-4759-8805-f6da2c31d4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a0b4f-27fe-4a7a-942a-77011d57e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512004-ba59-4759-8805-f6da2c31d4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1a86ae-3f26-470f-a03d-a94aa0225ba1}" ma:internalName="TaxCatchAll" ma:showField="CatchAllData" ma:web="ee512004-ba59-4759-8805-f6da2c31d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7a0b4f-27fe-4a7a-942a-77011d57e7b2">
      <Terms xmlns="http://schemas.microsoft.com/office/infopath/2007/PartnerControls"/>
    </lcf76f155ced4ddcb4097134ff3c332f>
    <TaxCatchAll xmlns="ee512004-ba59-4759-8805-f6da2c31d4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EF659-E30B-460D-830B-307DF0BFB486}"/>
</file>

<file path=customXml/itemProps2.xml><?xml version="1.0" encoding="utf-8"?>
<ds:datastoreItem xmlns:ds="http://schemas.openxmlformats.org/officeDocument/2006/customXml" ds:itemID="{65CBF1BD-2899-426B-AB1E-474FF2504AAA}">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894ff3a2-5b84-4db1-b194-960e8bd53b26"/>
    <ds:schemaRef ds:uri="http://schemas.openxmlformats.org/package/2006/metadata/core-properties"/>
    <ds:schemaRef ds:uri="bddf48e2-98a1-4a7b-8341-dfee56406fc1"/>
    <ds:schemaRef ds:uri="http://purl.org/dc/terms/"/>
    <ds:schemaRef ds:uri="http://schemas.microsoft.com/sharepoint/v3"/>
    <ds:schemaRef ds:uri="e20defc8-a435-495b-9f08-e97a65fab062"/>
    <ds:schemaRef ds:uri="646ef713-2e82-4289-a4d4-fd19aec9f9d7"/>
  </ds:schemaRefs>
</ds:datastoreItem>
</file>

<file path=customXml/itemProps3.xml><?xml version="1.0" encoding="utf-8"?>
<ds:datastoreItem xmlns:ds="http://schemas.openxmlformats.org/officeDocument/2006/customXml" ds:itemID="{EC397946-B578-4747-81EE-9B19D3DB9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1483</Words>
  <Characters>8457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Anadiya Riharsya</dc:creator>
  <cp:keywords/>
  <dc:description/>
  <cp:lastModifiedBy>Novita Ratna</cp:lastModifiedBy>
  <cp:revision>2</cp:revision>
  <dcterms:created xsi:type="dcterms:W3CDTF">2023-01-18T06:58:00Z</dcterms:created>
  <dcterms:modified xsi:type="dcterms:W3CDTF">2023-01-18T06:58:00Z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0x010100AFDCB38EB43C134BA97E690EFACF5771</vt:lpwstr>
  </property>
</Properties>
</file>